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4CC" w:rsidRDefault="002444CC" w:rsidP="002444CC">
      <w:pPr>
        <w:autoSpaceDE w:val="0"/>
        <w:autoSpaceDN w:val="0"/>
        <w:adjustRightInd w:val="0"/>
        <w:spacing w:after="195"/>
        <w:jc w:val="center"/>
        <w:rPr>
          <w:rFonts w:ascii="Times New Roman" w:hAnsi="Times New Roman"/>
          <w:b/>
          <w:bCs/>
          <w:sz w:val="36"/>
          <w:szCs w:val="36"/>
        </w:rPr>
      </w:pPr>
      <w:r>
        <w:rPr>
          <w:rFonts w:ascii="Times New Roman" w:hAnsi="Times New Roman"/>
          <w:b/>
          <w:bCs/>
          <w:sz w:val="36"/>
          <w:szCs w:val="36"/>
        </w:rPr>
        <w:t>Instituţii de Securitate</w:t>
      </w:r>
    </w:p>
    <w:p w:rsidR="002444CC" w:rsidRDefault="002444CC" w:rsidP="002444CC">
      <w:pPr>
        <w:autoSpaceDE w:val="0"/>
        <w:autoSpaceDN w:val="0"/>
        <w:adjustRightInd w:val="0"/>
        <w:spacing w:after="195"/>
        <w:jc w:val="center"/>
        <w:rPr>
          <w:rFonts w:ascii="Times New Roman" w:hAnsi="Times New Roman"/>
          <w:sz w:val="32"/>
          <w:szCs w:val="32"/>
        </w:rPr>
      </w:pPr>
    </w:p>
    <w:p w:rsidR="002444CC" w:rsidRDefault="002444CC" w:rsidP="002444CC">
      <w:pPr>
        <w:autoSpaceDE w:val="0"/>
        <w:autoSpaceDN w:val="0"/>
        <w:adjustRightInd w:val="0"/>
        <w:spacing w:after="195"/>
        <w:jc w:val="both"/>
        <w:rPr>
          <w:rFonts w:ascii="Times New Roman" w:hAnsi="Times New Roman"/>
          <w:b/>
          <w:sz w:val="32"/>
          <w:szCs w:val="32"/>
        </w:rPr>
      </w:pPr>
    </w:p>
    <w:p w:rsidR="00DD785C" w:rsidRPr="00722CE2" w:rsidRDefault="00DD785C" w:rsidP="002444CC">
      <w:pPr>
        <w:autoSpaceDE w:val="0"/>
        <w:autoSpaceDN w:val="0"/>
        <w:adjustRightInd w:val="0"/>
        <w:spacing w:after="195"/>
        <w:jc w:val="both"/>
        <w:rPr>
          <w:rFonts w:ascii="Times New Roman" w:hAnsi="Times New Roman"/>
          <w:sz w:val="36"/>
          <w:szCs w:val="32"/>
        </w:rPr>
      </w:pPr>
    </w:p>
    <w:p w:rsidR="002444CC" w:rsidRPr="00722CE2" w:rsidRDefault="002444CC" w:rsidP="002444CC">
      <w:pPr>
        <w:numPr>
          <w:ilvl w:val="0"/>
          <w:numId w:val="7"/>
        </w:numPr>
        <w:autoSpaceDE w:val="0"/>
        <w:autoSpaceDN w:val="0"/>
        <w:adjustRightInd w:val="0"/>
        <w:spacing w:after="195"/>
        <w:jc w:val="both"/>
        <w:rPr>
          <w:rFonts w:ascii="Times New Roman" w:hAnsi="Times New Roman"/>
          <w:b/>
          <w:sz w:val="28"/>
          <w:szCs w:val="24"/>
        </w:rPr>
      </w:pPr>
      <w:r w:rsidRPr="00722CE2">
        <w:rPr>
          <w:rFonts w:ascii="Times New Roman" w:hAnsi="Times New Roman"/>
          <w:b/>
          <w:sz w:val="28"/>
          <w:szCs w:val="24"/>
        </w:rPr>
        <w:t>Conceptul de securitate</w:t>
      </w:r>
    </w:p>
    <w:p w:rsidR="00722CE2" w:rsidRPr="00722CE2" w:rsidRDefault="00722CE2" w:rsidP="00722CE2">
      <w:pPr>
        <w:autoSpaceDE w:val="0"/>
        <w:autoSpaceDN w:val="0"/>
        <w:adjustRightInd w:val="0"/>
        <w:spacing w:after="195"/>
        <w:ind w:left="1080"/>
        <w:jc w:val="both"/>
        <w:rPr>
          <w:rFonts w:ascii="Times New Roman" w:hAnsi="Times New Roman"/>
          <w:sz w:val="24"/>
          <w:szCs w:val="24"/>
        </w:rPr>
      </w:pPr>
    </w:p>
    <w:p w:rsidR="002444CC" w:rsidRPr="00722CE2" w:rsidRDefault="002444CC" w:rsidP="002444CC">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Conceptul de securitate este utilizat deseori în zilele noastre, cu atribuiri din diverse domenii, cu implicaţii antropologice. În momentul de faţă, lumea este condusă de principiul de “globalizare” şi de transformările care apar pe scenele naţională şi internaţional. O puternică influenţa o reprezintă mass-media, deoarece aceasta persistă, zi de zi, cu diverse dezastre fie ele natural sau umane, iar toate acestea duc la o analiză atentă şi profundă a indivizilor, comunităţilor şi a statelor, pentru a putea identifica sorgintea riscurilor şi ameninţărilor, ulterior, propunându-se soluţii cât mai eficiente.</w:t>
      </w:r>
    </w:p>
    <w:p w:rsidR="002444CC" w:rsidRPr="00722CE2" w:rsidRDefault="002444CC" w:rsidP="002444CC">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Datorită faptului că trăim într-o lume plină de ameninţări, s-au creat, la nivel mondial şi regional, echipe de experţi pentru a identifica viitoarele ameninţări şi posibilele riscuri care ar putea exista din partea unor inamici reali sau imaginar. De aceea, în ultimii ani a început să se impună cât mai mult în literatura de specialitate şi în comisiile speciale de securitate anumiţi termini precum “naţional security”, “security studies”</w:t>
      </w:r>
      <w:r w:rsidRPr="00722CE2">
        <w:rPr>
          <w:rFonts w:ascii="Times New Roman" w:hAnsi="Times New Roman"/>
          <w:sz w:val="24"/>
          <w:szCs w:val="24"/>
          <w:vertAlign w:val="superscript"/>
        </w:rPr>
        <w:footnoteReference w:id="1"/>
      </w:r>
      <w:r w:rsidRPr="00722CE2">
        <w:rPr>
          <w:rFonts w:ascii="Times New Roman" w:hAnsi="Times New Roman"/>
          <w:sz w:val="24"/>
          <w:szCs w:val="24"/>
        </w:rPr>
        <w:t>, deşi, despre “securitatea naţională” s-a discutat pentru prima dată într-un document oficial în anul 1947</w:t>
      </w:r>
      <w:r w:rsidRPr="00722CE2">
        <w:rPr>
          <w:rFonts w:ascii="Times New Roman" w:hAnsi="Times New Roman"/>
          <w:sz w:val="24"/>
          <w:szCs w:val="24"/>
          <w:vertAlign w:val="superscript"/>
        </w:rPr>
        <w:footnoteReference w:id="2"/>
      </w:r>
      <w:r w:rsidRPr="00722CE2">
        <w:rPr>
          <w:rFonts w:ascii="Times New Roman" w:hAnsi="Times New Roman"/>
          <w:sz w:val="24"/>
          <w:szCs w:val="24"/>
        </w:rPr>
        <w:t>. Putem spune, astfel că termenul de “securitate” este strâns legat de problematica relaţiilor internaţionale. Totuşi, semnificaţia termenului nu a fost dintotdeauna aceasta. Astfel, “securitas”, cuvântul latin care este considerat originea “securităţii”, poate fi tradus ca o “stare de pace, calm</w:t>
      </w:r>
      <w:bookmarkStart w:id="0" w:name="Se_recomandã_scoaterea_virgulei_înainte_"/>
      <w:bookmarkEnd w:id="0"/>
      <w:r w:rsidRPr="00722CE2">
        <w:rPr>
          <w:rFonts w:ascii="Times New Roman" w:hAnsi="Times New Roman"/>
          <w:sz w:val="24"/>
          <w:szCs w:val="24"/>
        </w:rPr>
        <w:t>, şi de absenţă a pericolului”</w:t>
      </w:r>
      <w:r w:rsidRPr="00722CE2">
        <w:rPr>
          <w:rFonts w:ascii="Times New Roman" w:hAnsi="Times New Roman"/>
          <w:sz w:val="24"/>
          <w:szCs w:val="24"/>
          <w:vertAlign w:val="superscript"/>
        </w:rPr>
        <w:footnoteReference w:id="3"/>
      </w:r>
      <w:r w:rsidRPr="00722CE2">
        <w:rPr>
          <w:rFonts w:ascii="Times New Roman" w:hAnsi="Times New Roman"/>
          <w:sz w:val="24"/>
          <w:szCs w:val="24"/>
        </w:rPr>
        <w:t>, cu alte cuvinte, absenţa ameninţărilor din partea unui actor internaţional împotriva altui actor internaţional. Practic, “securitas” ar desemna sentimental sau condiţia care generează “încredere, pace, protective, apărare împotriva pericolului, dar şi măsurile care previn apariţia sa”. Semnificaţia termenului în perioada antică şi medievală se referea, iniţial, la ceea ce ţinea de spirit şi spiritualitate, de moralitate, iar ulterior, a fost conexat cu aspect considerate personale, individuale, care nu aveau niciun fel de legătură cu statul, societatea sau cu alte grupuri.</w:t>
      </w:r>
      <w:r w:rsidRPr="00722CE2">
        <w:rPr>
          <w:rFonts w:ascii="Times New Roman" w:hAnsi="Times New Roman"/>
          <w:sz w:val="24"/>
          <w:szCs w:val="24"/>
          <w:vertAlign w:val="superscript"/>
        </w:rPr>
        <w:footnoteReference w:id="4"/>
      </w:r>
    </w:p>
    <w:p w:rsidR="002444CC" w:rsidRPr="00722CE2" w:rsidRDefault="002444CC" w:rsidP="002444CC">
      <w:pPr>
        <w:autoSpaceDE w:val="0"/>
        <w:autoSpaceDN w:val="0"/>
        <w:adjustRightInd w:val="0"/>
        <w:spacing w:after="195"/>
        <w:ind w:firstLine="720"/>
        <w:jc w:val="both"/>
        <w:rPr>
          <w:rFonts w:ascii="Times New Roman" w:hAnsi="Times New Roman"/>
          <w:sz w:val="24"/>
          <w:szCs w:val="24"/>
        </w:rPr>
      </w:pP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Securitatea trebuie studiată prin prizma evenimentelor ce au loc pe arena internaţională, deoarece studiile de securitate sunt direct influenţate de evoluţia acestor evenimente.</w:t>
      </w:r>
    </w:p>
    <w:p w:rsidR="00852CE2" w:rsidRPr="00722CE2" w:rsidRDefault="00852CE2" w:rsidP="00852CE2">
      <w:pPr>
        <w:autoSpaceDE w:val="0"/>
        <w:autoSpaceDN w:val="0"/>
        <w:adjustRightInd w:val="0"/>
        <w:spacing w:after="195"/>
        <w:ind w:firstLine="720"/>
        <w:jc w:val="both"/>
        <w:rPr>
          <w:rFonts w:ascii="Times New Roman" w:hAnsi="Times New Roman"/>
          <w:sz w:val="24"/>
          <w:szCs w:val="24"/>
          <w:vertAlign w:val="superscript"/>
        </w:rPr>
      </w:pPr>
      <w:r w:rsidRPr="00722CE2">
        <w:rPr>
          <w:rFonts w:ascii="Times New Roman" w:hAnsi="Times New Roman"/>
          <w:sz w:val="24"/>
          <w:szCs w:val="24"/>
        </w:rPr>
        <w:t>Ca atare, există o importantă controversă în cadrul studiilor de securitate, care opune pe susţinătorii limitării studiilor de securitate la problemele centrate în jurul ameninţărilor sau a utilizării forţei, adepţilor extinderii, care susţin că dezvoltarea agendei economice şi de mediu, dar şi apariţia problemelor de identitate şi de criminalitate transnaţionala, impun noi paliere în abordarea securităţii. De fapt, există opinii conform cărora, supremaţia drepturilor omului este cea care diferenţiază abordarea securităţii umane faţă de cea tradiţională centrată pe stat, care se concentrează pe ameninţări la adresa statelor şi asupra capacităţilor militare clasice.</w:t>
      </w:r>
      <w:r w:rsidRPr="00722CE2">
        <w:rPr>
          <w:rFonts w:ascii="Times New Roman" w:hAnsi="Times New Roman"/>
          <w:sz w:val="24"/>
          <w:szCs w:val="24"/>
          <w:vertAlign w:val="superscript"/>
        </w:rPr>
        <w:footnoteReference w:id="5"/>
      </w:r>
    </w:p>
    <w:p w:rsidR="00852CE2" w:rsidRPr="00722CE2" w:rsidRDefault="00852CE2" w:rsidP="00852CE2">
      <w:pPr>
        <w:autoSpaceDE w:val="0"/>
        <w:autoSpaceDN w:val="0"/>
        <w:adjustRightInd w:val="0"/>
        <w:spacing w:after="195"/>
        <w:ind w:firstLine="720"/>
        <w:jc w:val="both"/>
        <w:rPr>
          <w:rFonts w:ascii="Times New Roman" w:hAnsi="Times New Roman"/>
          <w:sz w:val="24"/>
          <w:szCs w:val="24"/>
          <w:vertAlign w:val="superscript"/>
        </w:rPr>
      </w:pPr>
      <w:r w:rsidRPr="00722CE2">
        <w:rPr>
          <w:rFonts w:ascii="Times New Roman" w:hAnsi="Times New Roman"/>
          <w:sz w:val="24"/>
          <w:szCs w:val="24"/>
        </w:rPr>
        <w:t>În ultimele decenii specialiştii din domeniul securităţii au adus sensuri noi acestui concept, precum: securitatea individuală, securitatea umană, securitatea socială, securitatea economică şi bineînţeles, securitatea mondială. Un răspuns la faptul că securitatea să aibă aspect pozitive, s-a impus o paradigmă şi anume, să existe “securitate prin cooperare”.</w:t>
      </w:r>
      <w:r w:rsidRPr="00722CE2">
        <w:rPr>
          <w:rFonts w:ascii="Times New Roman" w:hAnsi="Times New Roman"/>
          <w:sz w:val="24"/>
          <w:szCs w:val="24"/>
          <w:vertAlign w:val="superscript"/>
        </w:rPr>
        <w:footnoteReference w:id="6"/>
      </w:r>
    </w:p>
    <w:p w:rsidR="001E1556" w:rsidRPr="00722CE2" w:rsidRDefault="001E1556" w:rsidP="00FC67E2">
      <w:pPr>
        <w:ind w:firstLine="720"/>
        <w:jc w:val="both"/>
        <w:rPr>
          <w:rFonts w:ascii="Times New Roman" w:hAnsi="Times New Roman"/>
          <w:sz w:val="24"/>
          <w:szCs w:val="24"/>
        </w:rPr>
      </w:pPr>
    </w:p>
    <w:p w:rsidR="00852CE2" w:rsidRPr="00722CE2" w:rsidRDefault="00852CE2" w:rsidP="00722CE2">
      <w:pPr>
        <w:pStyle w:val="ListParagraph"/>
        <w:numPr>
          <w:ilvl w:val="0"/>
          <w:numId w:val="7"/>
        </w:numPr>
        <w:autoSpaceDE w:val="0"/>
        <w:autoSpaceDN w:val="0"/>
        <w:adjustRightInd w:val="0"/>
        <w:spacing w:after="195"/>
        <w:jc w:val="both"/>
        <w:rPr>
          <w:rFonts w:ascii="Times New Roman" w:hAnsi="Times New Roman"/>
          <w:b/>
          <w:sz w:val="28"/>
          <w:szCs w:val="24"/>
        </w:rPr>
      </w:pPr>
      <w:r w:rsidRPr="00722CE2">
        <w:rPr>
          <w:rFonts w:ascii="Times New Roman" w:hAnsi="Times New Roman"/>
          <w:b/>
          <w:sz w:val="28"/>
          <w:szCs w:val="24"/>
        </w:rPr>
        <w:t>Incursiuni în aria relaţiilor internaţionale după cel de-al Doilea Război Mondia</w:t>
      </w:r>
      <w:bookmarkStart w:id="1" w:name="Sfârºit_neterminat_de_propoziþie"/>
      <w:bookmarkEnd w:id="1"/>
      <w:r w:rsidRPr="00722CE2">
        <w:rPr>
          <w:rFonts w:ascii="Times New Roman" w:hAnsi="Times New Roman"/>
          <w:b/>
          <w:sz w:val="28"/>
          <w:szCs w:val="24"/>
        </w:rPr>
        <w:t>l</w:t>
      </w:r>
    </w:p>
    <w:p w:rsidR="00722CE2" w:rsidRPr="00722CE2" w:rsidRDefault="00722CE2" w:rsidP="00722CE2">
      <w:pPr>
        <w:autoSpaceDE w:val="0"/>
        <w:autoSpaceDN w:val="0"/>
        <w:adjustRightInd w:val="0"/>
        <w:spacing w:after="195"/>
        <w:jc w:val="both"/>
        <w:rPr>
          <w:rFonts w:ascii="Times New Roman" w:hAnsi="Times New Roman"/>
          <w:b/>
          <w:sz w:val="28"/>
          <w:szCs w:val="24"/>
          <w:lang w:val="ro-RO"/>
        </w:rPr>
      </w:pPr>
    </w:p>
    <w:p w:rsidR="00852CE2" w:rsidRPr="00722CE2" w:rsidRDefault="00852CE2" w:rsidP="00852CE2">
      <w:pPr>
        <w:autoSpaceDE w:val="0"/>
        <w:autoSpaceDN w:val="0"/>
        <w:adjustRightInd w:val="0"/>
        <w:spacing w:after="195"/>
        <w:ind w:firstLine="720"/>
        <w:jc w:val="both"/>
        <w:rPr>
          <w:rFonts w:ascii="Times New Roman" w:hAnsi="Times New Roman"/>
          <w:sz w:val="24"/>
          <w:szCs w:val="24"/>
          <w:vertAlign w:val="superscript"/>
        </w:rPr>
      </w:pPr>
      <w:r w:rsidRPr="00722CE2">
        <w:rPr>
          <w:rFonts w:ascii="Times New Roman" w:hAnsi="Times New Roman"/>
          <w:sz w:val="24"/>
          <w:szCs w:val="24"/>
        </w:rPr>
        <w:t>Sfârşitul celui de-al doilea război mondial a adus omenirii nu numai pacea, dar şi speranţa ca vechile practice şi instrumente, care au guvernat relaţiile internaţional în perioada interbelică, care au dispărut din strategia şi diplomaţia statelor. Acest optimism a fost alimentat şi de declaraţiile liderilor marilor puteri ale Coaliţiei Naţiunilor Unite. Cordel Hull declara la 18 decembrie 1943: “</w:t>
      </w:r>
      <w:r w:rsidRPr="00722CE2">
        <w:rPr>
          <w:rFonts w:ascii="Times New Roman" w:hAnsi="Times New Roman"/>
          <w:i/>
          <w:iCs/>
          <w:sz w:val="24"/>
          <w:szCs w:val="24"/>
        </w:rPr>
        <w:t>Pe măsură ce prevederile Declaraţiilor celor patru naţiuni sunt puse în practică, nu va mai fi nevoie de sfere de influenţă, de alianţe, de echilibru de puteri ori de alte aranjamente special, prin care, în trecutul nefericit, naţiunile se străduiau să-şi salvgardeze securitatea şi să-şi promoveze interesele</w:t>
      </w:r>
      <w:r w:rsidRPr="00722CE2">
        <w:rPr>
          <w:rFonts w:ascii="Times New Roman" w:hAnsi="Times New Roman"/>
          <w:sz w:val="24"/>
          <w:szCs w:val="24"/>
        </w:rPr>
        <w:t>.” La rândul lor, oficialii de la Kremlin afirmau că politica sferelor de influenţă este un instrument al imperialismului şi Uniunea Sovietică nu va promova o astfel de politică.</w:t>
      </w:r>
      <w:r w:rsidRPr="00722CE2">
        <w:rPr>
          <w:rFonts w:ascii="Times New Roman" w:hAnsi="Times New Roman"/>
          <w:sz w:val="24"/>
          <w:szCs w:val="24"/>
          <w:vertAlign w:val="superscript"/>
        </w:rPr>
        <w:footnoteReference w:id="7"/>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Ceea ce s-a întâmplat cu adevărat este faptul că pe arena internaţională lumea politică a evoluat, mai ales după 1945 puterile centrale de la Washington şi de la Moscova au început să-şi materializeze anumite proiecte. O dată cu crearea acestor proiecte, lumea a fost “pusă” sub influenţa celor două mari puteri, această perioadă fiind denumită perioada Războiului Rece.</w:t>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Mulţi specialişti au ajuns la o convingere comună şi anume, aceea că este în interesul întregii omeniri pentru a exista un centru de putere şi echilibru care să exercite controlul, iar acest centru de putere să se afle sub conducerea SUA.</w:t>
      </w:r>
    </w:p>
    <w:p w:rsidR="00852CE2" w:rsidRPr="00722CE2" w:rsidRDefault="00852CE2" w:rsidP="00852CE2">
      <w:pPr>
        <w:autoSpaceDE w:val="0"/>
        <w:autoSpaceDN w:val="0"/>
        <w:adjustRightInd w:val="0"/>
        <w:spacing w:after="195"/>
        <w:ind w:firstLine="720"/>
        <w:jc w:val="both"/>
        <w:rPr>
          <w:rFonts w:ascii="Times New Roman" w:hAnsi="Times New Roman"/>
          <w:sz w:val="24"/>
          <w:szCs w:val="24"/>
          <w:vertAlign w:val="superscript"/>
        </w:rPr>
      </w:pPr>
      <w:r w:rsidRPr="00722CE2">
        <w:rPr>
          <w:rFonts w:ascii="Times New Roman" w:hAnsi="Times New Roman"/>
          <w:sz w:val="24"/>
          <w:szCs w:val="24"/>
        </w:rPr>
        <w:t>Reputatul diplomat American, politolog şi analist de clasă este considerat principalul arhitect al instituţiilor, instrumentelor şi metodologiei războiului rece. Conceptul strategic şi geopolitic denumit generic “</w:t>
      </w:r>
      <w:r w:rsidRPr="00722CE2">
        <w:rPr>
          <w:rFonts w:ascii="Times New Roman" w:hAnsi="Times New Roman"/>
          <w:i/>
          <w:iCs/>
          <w:sz w:val="24"/>
          <w:szCs w:val="24"/>
        </w:rPr>
        <w:t>containment</w:t>
      </w:r>
      <w:r w:rsidRPr="00722CE2">
        <w:rPr>
          <w:rFonts w:ascii="Times New Roman" w:hAnsi="Times New Roman"/>
          <w:sz w:val="24"/>
          <w:szCs w:val="24"/>
        </w:rPr>
        <w:t>” a stat, în opinia unor specialist, la baza documentului N.S.C. 20/4 care, în martie 1948, definea noua politica Americană faţă de Uniunea Sovietică, şi a celui elaborate în septembrie 1948, sub numele de cod N.S.C. 58, care stabilea atitudinea şi comportamentul SUA faţă de ţările satelit ale Moscovei. Ambele documente au fost întocmite de Consiliul Naţional de Securitate, organ înfiinţat de preşedintele Truman în vederea elaborării obiectivelor strategice ale politicii de apărare naţională şi a politicii externe ale SUA.</w:t>
      </w:r>
      <w:r w:rsidRPr="00722CE2">
        <w:rPr>
          <w:rFonts w:ascii="Times New Roman" w:hAnsi="Times New Roman"/>
          <w:sz w:val="24"/>
          <w:szCs w:val="24"/>
          <w:vertAlign w:val="superscript"/>
        </w:rPr>
        <w:footnoteReference w:id="8"/>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De-a lungul secolului XX se pot identifica câteva proiecte instituţionale care au reuşit să modeleze spaţiul european de securitate.</w:t>
      </w:r>
    </w:p>
    <w:p w:rsidR="00852CE2" w:rsidRPr="00722CE2" w:rsidRDefault="00852CE2" w:rsidP="00852CE2">
      <w:pPr>
        <w:autoSpaceDE w:val="0"/>
        <w:autoSpaceDN w:val="0"/>
        <w:adjustRightInd w:val="0"/>
        <w:spacing w:after="195"/>
        <w:ind w:firstLine="720"/>
        <w:jc w:val="both"/>
        <w:rPr>
          <w:rFonts w:ascii="Times New Roman" w:hAnsi="Times New Roman"/>
          <w:sz w:val="24"/>
          <w:szCs w:val="24"/>
          <w:vertAlign w:val="superscript"/>
        </w:rPr>
      </w:pPr>
      <w:r w:rsidRPr="00722CE2">
        <w:rPr>
          <w:rFonts w:ascii="Times New Roman" w:hAnsi="Times New Roman"/>
          <w:sz w:val="24"/>
          <w:szCs w:val="24"/>
        </w:rPr>
        <w:t>Însemnătatea organizaţiilor internaţional rezidă, în esenţă, în faptul că ele servesc promovării intereselor statelor prin facilitarea şi dezvoltarea cooperării internaţional, precum şi cauzei păcii şi securităţii în lume. În acest cadru, esenţiale sunt scopurile cărora le sunt consacrate activităţile organizaţiilor internaţionale, care trebuie indiferent de domeniul lor de activitate, să fie compatibile cu menţinerea păcii şi securităţii internaţional şi dezvoltarea unor relaţii între naţiuni, cu principiile şi obiectivele dreptului internaţional.</w:t>
      </w:r>
      <w:r w:rsidRPr="00722CE2">
        <w:rPr>
          <w:rFonts w:ascii="Times New Roman" w:hAnsi="Times New Roman"/>
          <w:sz w:val="24"/>
          <w:szCs w:val="24"/>
          <w:vertAlign w:val="superscript"/>
        </w:rPr>
        <w:footnoteReference w:id="9"/>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Interesul pe care statele îl manifestă faţă de activitatea organizaţiilor internaţional este determinat în primul rând de rolul acestor instituţii:</w:t>
      </w:r>
    </w:p>
    <w:p w:rsidR="00852CE2" w:rsidRPr="00722CE2" w:rsidRDefault="00852CE2" w:rsidP="00852CE2">
      <w:pPr>
        <w:numPr>
          <w:ilvl w:val="0"/>
          <w:numId w:val="9"/>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asigurarea păcii şi securităţii internaţionale;</w:t>
      </w:r>
    </w:p>
    <w:p w:rsidR="00852CE2" w:rsidRPr="00722CE2" w:rsidRDefault="00852CE2" w:rsidP="00852CE2">
      <w:pPr>
        <w:numPr>
          <w:ilvl w:val="0"/>
          <w:numId w:val="9"/>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promovarea cooperării economice, tehnologice şi ştiinţifice;</w:t>
      </w:r>
    </w:p>
    <w:p w:rsidR="00852CE2" w:rsidRPr="00722CE2" w:rsidRDefault="00852CE2" w:rsidP="00852CE2">
      <w:pPr>
        <w:numPr>
          <w:ilvl w:val="0"/>
          <w:numId w:val="9"/>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promovarea progresului tehnic şi ştiinţific;</w:t>
      </w:r>
    </w:p>
    <w:p w:rsidR="00852CE2" w:rsidRPr="00722CE2" w:rsidRDefault="00852CE2" w:rsidP="00852CE2">
      <w:pPr>
        <w:numPr>
          <w:ilvl w:val="0"/>
          <w:numId w:val="9"/>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promovarea schimbului de valori materiale şi culturale.</w:t>
      </w:r>
    </w:p>
    <w:p w:rsidR="002444CC" w:rsidRDefault="00852CE2" w:rsidP="00722CE2">
      <w:pPr>
        <w:autoSpaceDE w:val="0"/>
        <w:autoSpaceDN w:val="0"/>
        <w:adjustRightInd w:val="0"/>
        <w:spacing w:after="195"/>
        <w:ind w:firstLine="720"/>
        <w:jc w:val="both"/>
        <w:rPr>
          <w:rFonts w:ascii="Times New Roman" w:hAnsi="Times New Roman"/>
          <w:sz w:val="24"/>
          <w:szCs w:val="24"/>
          <w:vertAlign w:val="superscript"/>
          <w:lang w:val="ro-RO"/>
        </w:rPr>
      </w:pPr>
      <w:r w:rsidRPr="00722CE2">
        <w:rPr>
          <w:rFonts w:ascii="Times New Roman" w:hAnsi="Times New Roman"/>
          <w:sz w:val="24"/>
          <w:szCs w:val="24"/>
        </w:rPr>
        <w:t>Pe linia aceluiaşi interes, se poate spune că statele, cu deosebire cele mici şi mijlocii, considera organizaţiile internaţionale ca un cadru deosebit de favorabil, în care îşi pot face cunoscute opiniile unui auditoriu larg.</w:t>
      </w:r>
      <w:r w:rsidRPr="00722CE2">
        <w:rPr>
          <w:rFonts w:ascii="Times New Roman" w:hAnsi="Times New Roman"/>
          <w:sz w:val="24"/>
          <w:szCs w:val="24"/>
          <w:vertAlign w:val="superscript"/>
        </w:rPr>
        <w:footnoteReference w:id="10"/>
      </w:r>
    </w:p>
    <w:p w:rsidR="00722CE2" w:rsidRPr="00722CE2" w:rsidRDefault="00722CE2" w:rsidP="00722CE2">
      <w:pPr>
        <w:autoSpaceDE w:val="0"/>
        <w:autoSpaceDN w:val="0"/>
        <w:adjustRightInd w:val="0"/>
        <w:spacing w:after="195"/>
        <w:ind w:firstLine="720"/>
        <w:jc w:val="both"/>
        <w:rPr>
          <w:rFonts w:ascii="Times New Roman" w:hAnsi="Times New Roman"/>
          <w:sz w:val="24"/>
          <w:szCs w:val="24"/>
          <w:vertAlign w:val="superscript"/>
          <w:lang w:val="ro-RO"/>
        </w:rPr>
      </w:pPr>
    </w:p>
    <w:p w:rsidR="00722CE2" w:rsidRPr="00722CE2" w:rsidRDefault="00852CE2" w:rsidP="00722CE2">
      <w:pPr>
        <w:autoSpaceDE w:val="0"/>
        <w:autoSpaceDN w:val="0"/>
        <w:adjustRightInd w:val="0"/>
        <w:spacing w:after="195"/>
        <w:jc w:val="both"/>
        <w:rPr>
          <w:rFonts w:ascii="Times New Roman" w:hAnsi="Times New Roman"/>
          <w:b/>
          <w:bCs/>
          <w:i/>
          <w:iCs/>
          <w:sz w:val="24"/>
          <w:szCs w:val="24"/>
          <w:lang w:val="ro-RO"/>
        </w:rPr>
      </w:pPr>
      <w:r w:rsidRPr="00722CE2">
        <w:rPr>
          <w:rFonts w:ascii="Times New Roman" w:hAnsi="Times New Roman"/>
          <w:b/>
          <w:bCs/>
          <w:i/>
          <w:iCs/>
          <w:sz w:val="24"/>
          <w:szCs w:val="24"/>
        </w:rPr>
        <w:t>2.1 ORGANIZAŢIA NAŢIUNILOR UNITE</w:t>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ONU se aproprie cel mai mult, dintre toate organizaţiile care au existat vreodată, de un guvern mondial dar nu este aşa ceva. Membrii sunt statele suverane care nu au împuternicit ONU să-şi impună voinţă pe teritoriile statelor, cu excepţia cazului în care are acordul guvernelor acelor state.</w:t>
      </w:r>
    </w:p>
    <w:p w:rsidR="00852CE2" w:rsidRPr="00722CE2" w:rsidRDefault="00852CE2" w:rsidP="00852CE2">
      <w:pPr>
        <w:autoSpaceDE w:val="0"/>
        <w:autoSpaceDN w:val="0"/>
        <w:adjustRightInd w:val="0"/>
        <w:spacing w:after="195"/>
        <w:ind w:firstLine="720"/>
        <w:jc w:val="both"/>
        <w:rPr>
          <w:rFonts w:ascii="Times New Roman" w:hAnsi="Times New Roman"/>
          <w:sz w:val="24"/>
          <w:szCs w:val="24"/>
          <w:vertAlign w:val="superscript"/>
        </w:rPr>
      </w:pPr>
      <w:r w:rsidRPr="00722CE2">
        <w:rPr>
          <w:rFonts w:ascii="Times New Roman" w:hAnsi="Times New Roman"/>
          <w:sz w:val="24"/>
          <w:szCs w:val="24"/>
        </w:rPr>
        <w:t>Astfel, deşi ONU întăreşte ordinea mondială, organizarea sa consfinţeşte realităţile anarhiei internaţional şi refuzul statelor de a-şi ceda suveranitatea. Respectând aceste limite, scol [pul de bază al ONU este de a sigură o structură instituţională globală prin care statele pot câteodată să-şi rezolve conflictele, punându-şi mai puţin accentul pe utilizarea forţei.</w:t>
      </w:r>
      <w:r w:rsidRPr="00722CE2">
        <w:rPr>
          <w:rFonts w:ascii="Times New Roman" w:hAnsi="Times New Roman"/>
          <w:sz w:val="24"/>
          <w:szCs w:val="24"/>
          <w:vertAlign w:val="superscript"/>
        </w:rPr>
        <w:footnoteReference w:id="11"/>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Carta ONU se bazează pe principiile că statele sunt egale conform dreptului internaţional:</w:t>
      </w:r>
    </w:p>
    <w:p w:rsidR="00852CE2" w:rsidRPr="00722CE2" w:rsidRDefault="00852CE2" w:rsidP="00852CE2">
      <w:pPr>
        <w:numPr>
          <w:ilvl w:val="0"/>
          <w:numId w:val="11"/>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statele dispun de suveranitate complete în ceea ce priveşte problemele proprii;</w:t>
      </w:r>
    </w:p>
    <w:p w:rsidR="00852CE2" w:rsidRPr="00722CE2" w:rsidRDefault="00852CE2" w:rsidP="00852CE2">
      <w:pPr>
        <w:numPr>
          <w:ilvl w:val="0"/>
          <w:numId w:val="11"/>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statele ar trebui să aibă independent şi integritate teritorială depline;</w:t>
      </w:r>
    </w:p>
    <w:p w:rsidR="00852CE2" w:rsidRPr="00722CE2" w:rsidRDefault="00852CE2" w:rsidP="00852CE2">
      <w:pPr>
        <w:numPr>
          <w:ilvl w:val="0"/>
          <w:numId w:val="11"/>
        </w:numPr>
        <w:autoSpaceDE w:val="0"/>
        <w:autoSpaceDN w:val="0"/>
        <w:adjustRightInd w:val="0"/>
        <w:spacing w:after="195"/>
        <w:jc w:val="both"/>
        <w:rPr>
          <w:rFonts w:ascii="Times New Roman" w:hAnsi="Times New Roman"/>
          <w:sz w:val="24"/>
          <w:szCs w:val="24"/>
          <w:vertAlign w:val="superscript"/>
        </w:rPr>
      </w:pPr>
      <w:r w:rsidRPr="00722CE2">
        <w:rPr>
          <w:rFonts w:ascii="Times New Roman" w:hAnsi="Times New Roman"/>
          <w:sz w:val="24"/>
          <w:szCs w:val="24"/>
        </w:rPr>
        <w:t>statele trebuie să-şi îndeplinească obligaţiile interne.</w:t>
      </w:r>
      <w:r w:rsidRPr="00722CE2">
        <w:rPr>
          <w:rFonts w:ascii="Times New Roman" w:hAnsi="Times New Roman"/>
          <w:sz w:val="24"/>
          <w:szCs w:val="24"/>
          <w:vertAlign w:val="superscript"/>
        </w:rPr>
        <w:footnoteReference w:id="12"/>
      </w:r>
    </w:p>
    <w:p w:rsidR="00852CE2" w:rsidRPr="00722CE2" w:rsidRDefault="00852CE2" w:rsidP="00852CE2">
      <w:pPr>
        <w:autoSpaceDE w:val="0"/>
        <w:autoSpaceDN w:val="0"/>
        <w:adjustRightInd w:val="0"/>
        <w:spacing w:after="195"/>
        <w:ind w:left="720"/>
        <w:jc w:val="both"/>
        <w:rPr>
          <w:rFonts w:ascii="Times New Roman" w:hAnsi="Times New Roman"/>
          <w:sz w:val="24"/>
          <w:szCs w:val="24"/>
          <w:vertAlign w:val="superscript"/>
        </w:rPr>
      </w:pPr>
      <w:r w:rsidRPr="00722CE2">
        <w:rPr>
          <w:rFonts w:ascii="Times New Roman" w:hAnsi="Times New Roman"/>
          <w:sz w:val="24"/>
          <w:szCs w:val="24"/>
        </w:rPr>
        <w:t>Carta ONU mai reprezintă şi structura ONU şi metodele prin care operează.</w:t>
      </w:r>
      <w:r w:rsidRPr="00722CE2">
        <w:rPr>
          <w:rFonts w:ascii="Times New Roman" w:hAnsi="Times New Roman"/>
          <w:sz w:val="24"/>
          <w:szCs w:val="24"/>
          <w:vertAlign w:val="superscript"/>
        </w:rPr>
        <w:footnoteReference w:id="13"/>
      </w:r>
    </w:p>
    <w:p w:rsidR="00722CE2" w:rsidRDefault="00722CE2" w:rsidP="00722CE2">
      <w:pPr>
        <w:autoSpaceDE w:val="0"/>
        <w:autoSpaceDN w:val="0"/>
        <w:adjustRightInd w:val="0"/>
        <w:spacing w:after="195"/>
        <w:jc w:val="both"/>
        <w:rPr>
          <w:rFonts w:ascii="Times New Roman" w:hAnsi="Times New Roman"/>
          <w:sz w:val="24"/>
          <w:szCs w:val="24"/>
          <w:lang w:val="ro-RO"/>
        </w:rPr>
      </w:pPr>
    </w:p>
    <w:p w:rsidR="00722CE2" w:rsidRPr="00722CE2" w:rsidRDefault="00852CE2" w:rsidP="00722CE2">
      <w:pPr>
        <w:autoSpaceDE w:val="0"/>
        <w:autoSpaceDN w:val="0"/>
        <w:adjustRightInd w:val="0"/>
        <w:spacing w:after="195"/>
        <w:jc w:val="both"/>
        <w:rPr>
          <w:rFonts w:ascii="Times New Roman" w:hAnsi="Times New Roman"/>
          <w:b/>
          <w:bCs/>
          <w:i/>
          <w:iCs/>
          <w:sz w:val="24"/>
          <w:szCs w:val="24"/>
          <w:lang w:val="ro-RO"/>
        </w:rPr>
      </w:pPr>
      <w:r w:rsidRPr="00722CE2">
        <w:rPr>
          <w:rFonts w:ascii="Times New Roman" w:hAnsi="Times New Roman"/>
          <w:b/>
          <w:bCs/>
          <w:i/>
          <w:iCs/>
          <w:sz w:val="24"/>
          <w:szCs w:val="24"/>
        </w:rPr>
        <w:t>2.2 NATO</w:t>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Un prim proiect de acest fel este NATO, care reprezintă o implicare americană în sistemul de balanţă de putere în Europa.</w:t>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Este adesea spus faptul că Organizaţia Atlanticului de Nord a fost fondată ca răspuns la ameninţarea adusă de Uniunea Sovietică. Acesta este un răspuns parţial. De fapt, crearea Alianţei a fost parte a unui proiect mai larg şi anume Acela de a servi trei obiective:</w:t>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Descurajarea expansiunii sovietice;</w:t>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Interzicerea “renaşterii” militarismului naţionalist în Europa printr-o prezenţă Nord Americană;</w:t>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vertAlign w:val="superscript"/>
        </w:rPr>
      </w:pPr>
      <w:r w:rsidRPr="00722CE2">
        <w:rPr>
          <w:rFonts w:ascii="Times New Roman" w:hAnsi="Times New Roman"/>
          <w:sz w:val="24"/>
          <w:szCs w:val="24"/>
        </w:rPr>
        <w:t>Încurajarea integrării politice europene.</w:t>
      </w:r>
      <w:r w:rsidRPr="00722CE2">
        <w:rPr>
          <w:rFonts w:ascii="Times New Roman" w:hAnsi="Times New Roman"/>
          <w:sz w:val="24"/>
          <w:szCs w:val="24"/>
          <w:vertAlign w:val="superscript"/>
        </w:rPr>
        <w:footnoteReference w:id="14"/>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NATO reprezintă una dintre cele mai hotărâte şi pregătite instituţii de securitate pentru a prelua rolul de coordonator al securităţii europene. Ronald Asmus a apreciat faptul că prin procesul de apărare a NATO la noua poziţie de securitate a avut până în prezent 2 etape şi anume:</w:t>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Apărarea avansată a graniţelor;</w:t>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Stabilitatea Europei.</w:t>
      </w:r>
    </w:p>
    <w:p w:rsidR="00852CE2" w:rsidRPr="00722CE2" w:rsidRDefault="00852CE2" w:rsidP="00852CE2">
      <w:pPr>
        <w:autoSpaceDE w:val="0"/>
        <w:autoSpaceDN w:val="0"/>
        <w:adjustRightInd w:val="0"/>
        <w:spacing w:after="195"/>
        <w:ind w:left="720"/>
        <w:jc w:val="both"/>
        <w:rPr>
          <w:rFonts w:ascii="Times New Roman" w:hAnsi="Times New Roman"/>
          <w:sz w:val="24"/>
          <w:szCs w:val="24"/>
        </w:rPr>
      </w:pPr>
      <w:r w:rsidRPr="00722CE2">
        <w:rPr>
          <w:rFonts w:ascii="Times New Roman" w:hAnsi="Times New Roman"/>
          <w:sz w:val="24"/>
          <w:szCs w:val="24"/>
        </w:rPr>
        <w:t>În viitor, procesul de dezvoltare a NATO va mai cuprinde alte 2 etape:</w:t>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Securitatea Europei;</w:t>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rPr>
      </w:pPr>
      <w:r w:rsidRPr="00722CE2">
        <w:rPr>
          <w:rFonts w:ascii="Times New Roman" w:hAnsi="Times New Roman"/>
          <w:sz w:val="24"/>
          <w:szCs w:val="24"/>
        </w:rPr>
        <w:t>Apărarea intereselor comune, dar fără a exista restricţii regionale, oriunde SUA şi aliaţii europeni au interese comuni şi doresc să şi le apere.</w:t>
      </w:r>
    </w:p>
    <w:p w:rsidR="00852CE2" w:rsidRPr="00722CE2" w:rsidRDefault="00852CE2" w:rsidP="00852CE2">
      <w:pPr>
        <w:autoSpaceDE w:val="0"/>
        <w:autoSpaceDN w:val="0"/>
        <w:adjustRightInd w:val="0"/>
        <w:spacing w:after="195"/>
        <w:ind w:left="720" w:firstLine="420"/>
        <w:jc w:val="both"/>
        <w:rPr>
          <w:rFonts w:ascii="Times New Roman" w:hAnsi="Times New Roman"/>
          <w:sz w:val="24"/>
          <w:szCs w:val="24"/>
          <w:vertAlign w:val="superscript"/>
        </w:rPr>
      </w:pPr>
      <w:r w:rsidRPr="00722CE2">
        <w:rPr>
          <w:rFonts w:ascii="Times New Roman" w:hAnsi="Times New Roman"/>
          <w:i/>
          <w:iCs/>
          <w:sz w:val="24"/>
          <w:szCs w:val="24"/>
        </w:rPr>
        <w:t>Cele două concepte strategice adoptate la Roma şi Washington, reforma comandamentelor şi structurilor de forţe integrate din anii ’90 şi numeroasele acţiuni şi aranjamente externe ale Alianţei, incluzând aici extinderea din 1997-1999 şu 2004, au demonstrat pragmatismul şi, în ultimă instanţă, natura profund realistă a procesului de adaptare al NATO</w:t>
      </w:r>
      <w:r w:rsidRPr="00722CE2">
        <w:rPr>
          <w:rFonts w:ascii="Times New Roman" w:hAnsi="Times New Roman"/>
          <w:sz w:val="24"/>
          <w:szCs w:val="24"/>
        </w:rPr>
        <w:t>.</w:t>
      </w:r>
      <w:r w:rsidRPr="00722CE2">
        <w:rPr>
          <w:rFonts w:ascii="Times New Roman" w:hAnsi="Times New Roman"/>
          <w:sz w:val="24"/>
          <w:szCs w:val="24"/>
          <w:vertAlign w:val="superscript"/>
        </w:rPr>
        <w:footnoteReference w:id="15"/>
      </w:r>
    </w:p>
    <w:p w:rsidR="00852CE2" w:rsidRPr="00722CE2" w:rsidRDefault="00852CE2" w:rsidP="00852CE2">
      <w:pPr>
        <w:autoSpaceDE w:val="0"/>
        <w:autoSpaceDN w:val="0"/>
        <w:adjustRightInd w:val="0"/>
        <w:spacing w:after="195"/>
        <w:ind w:left="720" w:firstLine="420"/>
        <w:jc w:val="both"/>
        <w:rPr>
          <w:rFonts w:ascii="Times New Roman" w:hAnsi="Times New Roman"/>
          <w:sz w:val="24"/>
          <w:szCs w:val="24"/>
        </w:rPr>
      </w:pPr>
    </w:p>
    <w:p w:rsidR="00852CE2" w:rsidRPr="00722CE2" w:rsidRDefault="00852CE2" w:rsidP="00722CE2">
      <w:pPr>
        <w:autoSpaceDE w:val="0"/>
        <w:autoSpaceDN w:val="0"/>
        <w:adjustRightInd w:val="0"/>
        <w:spacing w:after="195"/>
        <w:jc w:val="both"/>
        <w:rPr>
          <w:rFonts w:ascii="Times New Roman" w:hAnsi="Times New Roman"/>
          <w:b/>
          <w:bCs/>
          <w:i/>
          <w:iCs/>
          <w:sz w:val="24"/>
          <w:szCs w:val="24"/>
        </w:rPr>
      </w:pPr>
      <w:r w:rsidRPr="00722CE2">
        <w:rPr>
          <w:rFonts w:ascii="Times New Roman" w:hAnsi="Times New Roman"/>
          <w:b/>
          <w:bCs/>
          <w:i/>
          <w:iCs/>
          <w:sz w:val="24"/>
          <w:szCs w:val="24"/>
        </w:rPr>
        <w:t>2.3 UNIUNEA EUROPEANĂ</w:t>
      </w:r>
    </w:p>
    <w:p w:rsidR="00852CE2" w:rsidRPr="00722CE2" w:rsidRDefault="00852CE2" w:rsidP="00852CE2">
      <w:pPr>
        <w:autoSpaceDE w:val="0"/>
        <w:autoSpaceDN w:val="0"/>
        <w:adjustRightInd w:val="0"/>
        <w:spacing w:after="195"/>
        <w:ind w:left="720" w:firstLine="420"/>
        <w:jc w:val="both"/>
        <w:rPr>
          <w:rFonts w:ascii="Times New Roman" w:hAnsi="Times New Roman"/>
          <w:sz w:val="24"/>
          <w:szCs w:val="24"/>
        </w:rPr>
      </w:pPr>
      <w:r w:rsidRPr="00722CE2">
        <w:rPr>
          <w:rFonts w:ascii="Times New Roman" w:hAnsi="Times New Roman"/>
          <w:sz w:val="24"/>
          <w:szCs w:val="24"/>
        </w:rPr>
        <w:t>Un alt model de proiect de acest tip îl reprezintă Uniunea Europeană, fiind un nucleu instituţional care se pliază pe mai multe domenii de interes al statelor membre.</w:t>
      </w:r>
    </w:p>
    <w:p w:rsidR="00852CE2" w:rsidRPr="00722CE2" w:rsidRDefault="00852CE2" w:rsidP="00852CE2">
      <w:pPr>
        <w:autoSpaceDE w:val="0"/>
        <w:autoSpaceDN w:val="0"/>
        <w:adjustRightInd w:val="0"/>
        <w:spacing w:after="195"/>
        <w:ind w:left="720" w:firstLine="420"/>
        <w:jc w:val="both"/>
        <w:rPr>
          <w:rFonts w:ascii="Times New Roman" w:hAnsi="Times New Roman"/>
          <w:sz w:val="24"/>
          <w:szCs w:val="24"/>
          <w:vertAlign w:val="superscript"/>
        </w:rPr>
      </w:pPr>
      <w:r w:rsidRPr="00722CE2">
        <w:rPr>
          <w:rFonts w:ascii="Times New Roman" w:hAnsi="Times New Roman"/>
          <w:sz w:val="24"/>
          <w:szCs w:val="24"/>
        </w:rPr>
        <w:t>Apariţia Comunităţilor Europene are la baza Declaraţia ministrului francez de externe, Robert Schuman care, la data de 9 Mai 1950, a prezentat un plan, pus la punct împreună cu Jean Monnet, comisar al planului de modernizare a Franţei de după război. Planul Schuman a devenit realitate la 18 Aprilie 1951 prin semnarea la Paris, de către 6 ţări</w:t>
      </w:r>
      <w:r w:rsidRPr="00722CE2">
        <w:rPr>
          <w:rFonts w:ascii="Times New Roman" w:hAnsi="Times New Roman"/>
          <w:sz w:val="24"/>
          <w:szCs w:val="24"/>
          <w:vertAlign w:val="superscript"/>
        </w:rPr>
        <w:footnoteReference w:id="16"/>
      </w:r>
      <w:r w:rsidRPr="00722CE2">
        <w:rPr>
          <w:rFonts w:ascii="Times New Roman" w:hAnsi="Times New Roman"/>
          <w:sz w:val="24"/>
          <w:szCs w:val="24"/>
        </w:rPr>
        <w:t xml:space="preserve"> a Tratatului instituind Comunitatea Europeană a Cărbunelui şi Oţelului care a intrat în vigoare la 25 iulie 1952. Primele succese înregistrate de CECO au determinat miniştrii de externe ai celor 6 ţări fondatoare să încerce continuarea procesului în domeniul economic, astfel, ca în anul 1957 au fost semnate Tratatul Comunităţii Europene a Energiei Atomice şi Tratatul Comunităţii Economice Europene, care au intrat în vigoare la 1 ianuarie 1958.</w:t>
      </w:r>
      <w:r w:rsidRPr="00722CE2">
        <w:rPr>
          <w:rFonts w:ascii="Times New Roman" w:hAnsi="Times New Roman"/>
          <w:sz w:val="24"/>
          <w:szCs w:val="24"/>
          <w:vertAlign w:val="superscript"/>
        </w:rPr>
        <w:footnoteReference w:id="17"/>
      </w:r>
    </w:p>
    <w:p w:rsidR="00852CE2" w:rsidRPr="00722CE2" w:rsidRDefault="00852CE2" w:rsidP="00852CE2">
      <w:pPr>
        <w:autoSpaceDE w:val="0"/>
        <w:autoSpaceDN w:val="0"/>
        <w:adjustRightInd w:val="0"/>
        <w:spacing w:after="195"/>
        <w:ind w:left="720" w:firstLine="420"/>
        <w:jc w:val="both"/>
        <w:rPr>
          <w:rFonts w:ascii="Times New Roman" w:hAnsi="Times New Roman"/>
          <w:sz w:val="24"/>
          <w:szCs w:val="24"/>
          <w:vertAlign w:val="superscript"/>
        </w:rPr>
      </w:pPr>
      <w:r w:rsidRPr="00722CE2">
        <w:rPr>
          <w:rFonts w:ascii="Times New Roman" w:hAnsi="Times New Roman"/>
          <w:sz w:val="24"/>
          <w:szCs w:val="24"/>
        </w:rPr>
        <w:t>Integrarea europeană a început ca un proces treptat care aduce succese tangibile, diminuează temerile politicienilor referitoare la pierderea suveranităţii şi creează presiuni în direcţia continuării procesului. Prima mare revizuire a Tratatului de la Roma, prin Actul Unic European din 1985, s-a dat startul unei noi etape de integrare accelerată. Uniunea Europeană a stabilit sfârşitul anului 1992 ca data-tinta pentru crearea unei adevărate pieţe comune în Europa. Acest set cuprinzător a fost numit Europa 1992.</w:t>
      </w:r>
      <w:r w:rsidRPr="00722CE2">
        <w:rPr>
          <w:rFonts w:ascii="Times New Roman" w:hAnsi="Times New Roman"/>
          <w:sz w:val="24"/>
          <w:szCs w:val="24"/>
          <w:vertAlign w:val="superscript"/>
        </w:rPr>
        <w:footnoteReference w:id="18"/>
      </w:r>
    </w:p>
    <w:p w:rsidR="00852CE2" w:rsidRPr="00722CE2" w:rsidRDefault="00852CE2" w:rsidP="00852CE2">
      <w:pPr>
        <w:autoSpaceDE w:val="0"/>
        <w:autoSpaceDN w:val="0"/>
        <w:adjustRightInd w:val="0"/>
        <w:spacing w:after="195"/>
        <w:ind w:left="720" w:firstLine="420"/>
        <w:jc w:val="both"/>
        <w:rPr>
          <w:rFonts w:ascii="Times New Roman" w:hAnsi="Times New Roman"/>
          <w:sz w:val="24"/>
          <w:szCs w:val="24"/>
        </w:rPr>
      </w:pPr>
      <w:r w:rsidRPr="00722CE2">
        <w:rPr>
          <w:rFonts w:ascii="Times New Roman" w:hAnsi="Times New Roman"/>
          <w:sz w:val="24"/>
          <w:szCs w:val="24"/>
        </w:rPr>
        <w:t>Acest proces şi-a propus îndeplinirea a 300 de obiective ale Comisiei Europene, prin care se dorea eliminarea barierelor non tarifare existente pentru liberul schimb de forţa de muncă, bunuri, servicii şi capital. Se dorea, de asemenea, o echivalare a unor standarde în ceea ce priveşte obţinerea unor autorizaţii şi folosirea acestora pe plan european.</w:t>
      </w:r>
    </w:p>
    <w:p w:rsidR="00852CE2" w:rsidRPr="00722CE2" w:rsidRDefault="00852CE2" w:rsidP="00852CE2">
      <w:pPr>
        <w:autoSpaceDE w:val="0"/>
        <w:autoSpaceDN w:val="0"/>
        <w:adjustRightInd w:val="0"/>
        <w:spacing w:after="195"/>
        <w:ind w:left="720" w:firstLine="420"/>
        <w:jc w:val="both"/>
        <w:rPr>
          <w:rFonts w:ascii="Times New Roman" w:hAnsi="Times New Roman"/>
          <w:sz w:val="24"/>
          <w:szCs w:val="24"/>
        </w:rPr>
      </w:pPr>
      <w:r w:rsidRPr="00722CE2">
        <w:rPr>
          <w:rFonts w:ascii="Times New Roman" w:hAnsi="Times New Roman"/>
          <w:sz w:val="24"/>
          <w:szCs w:val="24"/>
        </w:rPr>
        <w:t>Prin Tratatul de la Maastricht, semnat în 1992 şi intrat în vigoare în 1993, Comunitatea Europeană a devenit Uniunea Europeană. O dată cu acesta schimbare, s-au propus 3 domenii principale şi anume:</w:t>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vertAlign w:val="superscript"/>
        </w:rPr>
      </w:pPr>
      <w:r w:rsidRPr="00722CE2">
        <w:rPr>
          <w:rFonts w:ascii="Times New Roman" w:hAnsi="Times New Roman"/>
          <w:sz w:val="24"/>
          <w:szCs w:val="24"/>
        </w:rPr>
        <w:t>uniunea monetară;</w:t>
      </w:r>
      <w:r w:rsidRPr="00722CE2">
        <w:rPr>
          <w:rFonts w:ascii="Times New Roman" w:hAnsi="Times New Roman"/>
          <w:sz w:val="24"/>
          <w:szCs w:val="24"/>
          <w:vertAlign w:val="superscript"/>
        </w:rPr>
        <w:footnoteReference w:id="19"/>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vertAlign w:val="superscript"/>
        </w:rPr>
      </w:pPr>
      <w:r w:rsidRPr="00722CE2">
        <w:rPr>
          <w:rFonts w:ascii="Times New Roman" w:hAnsi="Times New Roman"/>
          <w:sz w:val="24"/>
          <w:szCs w:val="24"/>
        </w:rPr>
        <w:t>crearea unei agenţii de poliţie europeană;</w:t>
      </w:r>
      <w:r w:rsidRPr="00722CE2">
        <w:rPr>
          <w:rFonts w:ascii="Times New Roman" w:hAnsi="Times New Roman"/>
          <w:sz w:val="24"/>
          <w:szCs w:val="24"/>
          <w:vertAlign w:val="superscript"/>
        </w:rPr>
        <w:footnoteReference w:id="20"/>
      </w:r>
    </w:p>
    <w:p w:rsidR="00852CE2" w:rsidRPr="00722CE2" w:rsidRDefault="00852CE2" w:rsidP="00852CE2">
      <w:pPr>
        <w:numPr>
          <w:ilvl w:val="0"/>
          <w:numId w:val="12"/>
        </w:numPr>
        <w:autoSpaceDE w:val="0"/>
        <w:autoSpaceDN w:val="0"/>
        <w:adjustRightInd w:val="0"/>
        <w:spacing w:after="195"/>
        <w:jc w:val="both"/>
        <w:rPr>
          <w:rFonts w:ascii="Times New Roman" w:hAnsi="Times New Roman"/>
          <w:sz w:val="24"/>
          <w:szCs w:val="24"/>
          <w:vertAlign w:val="superscript"/>
        </w:rPr>
      </w:pPr>
      <w:r w:rsidRPr="00722CE2">
        <w:rPr>
          <w:rFonts w:ascii="Times New Roman" w:hAnsi="Times New Roman"/>
          <w:sz w:val="24"/>
          <w:szCs w:val="24"/>
        </w:rPr>
        <w:t>integrarea politică şi militară.</w:t>
      </w:r>
      <w:r w:rsidRPr="00722CE2">
        <w:rPr>
          <w:rFonts w:ascii="Times New Roman" w:hAnsi="Times New Roman"/>
          <w:sz w:val="24"/>
          <w:szCs w:val="24"/>
          <w:vertAlign w:val="superscript"/>
        </w:rPr>
        <w:footnoteReference w:id="21"/>
      </w:r>
    </w:p>
    <w:p w:rsidR="002F0BE5" w:rsidRDefault="002F0BE5" w:rsidP="002F0BE5">
      <w:pPr>
        <w:jc w:val="both"/>
        <w:rPr>
          <w:rFonts w:ascii="Times New Roman" w:hAnsi="Times New Roman"/>
          <w:sz w:val="24"/>
          <w:szCs w:val="24"/>
          <w:lang w:val="ro-RO"/>
        </w:rPr>
      </w:pPr>
    </w:p>
    <w:p w:rsidR="00722CE2" w:rsidRDefault="00722CE2" w:rsidP="002F0BE5">
      <w:pPr>
        <w:jc w:val="both"/>
        <w:rPr>
          <w:rFonts w:ascii="Times New Roman" w:hAnsi="Times New Roman"/>
          <w:sz w:val="24"/>
          <w:szCs w:val="24"/>
          <w:lang w:val="ro-RO"/>
        </w:rPr>
      </w:pPr>
    </w:p>
    <w:p w:rsidR="00722CE2" w:rsidRDefault="00722CE2" w:rsidP="002F0BE5">
      <w:pPr>
        <w:jc w:val="both"/>
        <w:rPr>
          <w:rFonts w:ascii="Times New Roman" w:hAnsi="Times New Roman"/>
          <w:sz w:val="24"/>
          <w:szCs w:val="24"/>
          <w:lang w:val="ro-RO"/>
        </w:rPr>
      </w:pPr>
    </w:p>
    <w:p w:rsidR="00722CE2" w:rsidRDefault="00722CE2" w:rsidP="002F0BE5">
      <w:pPr>
        <w:jc w:val="both"/>
        <w:rPr>
          <w:rFonts w:ascii="Times New Roman" w:hAnsi="Times New Roman"/>
          <w:sz w:val="24"/>
          <w:szCs w:val="24"/>
          <w:lang w:val="ro-RO"/>
        </w:rPr>
      </w:pPr>
    </w:p>
    <w:p w:rsidR="00722CE2" w:rsidRDefault="00722CE2" w:rsidP="002F0BE5">
      <w:pPr>
        <w:jc w:val="both"/>
        <w:rPr>
          <w:rFonts w:ascii="Times New Roman" w:hAnsi="Times New Roman"/>
          <w:sz w:val="24"/>
          <w:szCs w:val="24"/>
          <w:lang w:val="ro-RO"/>
        </w:rPr>
      </w:pPr>
    </w:p>
    <w:p w:rsidR="00722CE2" w:rsidRPr="00722CE2" w:rsidRDefault="00722CE2" w:rsidP="002F0BE5">
      <w:pPr>
        <w:jc w:val="both"/>
        <w:rPr>
          <w:rFonts w:ascii="Times New Roman" w:hAnsi="Times New Roman"/>
          <w:sz w:val="24"/>
          <w:szCs w:val="24"/>
          <w:lang w:val="ro-RO"/>
        </w:rPr>
      </w:pPr>
    </w:p>
    <w:p w:rsidR="002F0BE5" w:rsidRPr="00722CE2" w:rsidRDefault="002F0BE5" w:rsidP="00722CE2">
      <w:pPr>
        <w:pStyle w:val="ListParagraph"/>
        <w:numPr>
          <w:ilvl w:val="0"/>
          <w:numId w:val="7"/>
        </w:numPr>
        <w:jc w:val="both"/>
        <w:rPr>
          <w:rFonts w:ascii="Times New Roman" w:hAnsi="Times New Roman"/>
          <w:b/>
          <w:i/>
          <w:sz w:val="24"/>
          <w:szCs w:val="24"/>
          <w:lang w:val="ro-RO"/>
        </w:rPr>
      </w:pPr>
      <w:r w:rsidRPr="00722CE2">
        <w:rPr>
          <w:rFonts w:ascii="Times New Roman" w:hAnsi="Times New Roman"/>
          <w:b/>
          <w:i/>
          <w:sz w:val="24"/>
          <w:szCs w:val="24"/>
          <w:lang w:val="ro-RO"/>
        </w:rPr>
        <w:t>CONCLUZII</w:t>
      </w:r>
    </w:p>
    <w:p w:rsidR="002F0BE5" w:rsidRPr="00722CE2" w:rsidRDefault="002F0BE5" w:rsidP="002F0BE5">
      <w:pPr>
        <w:jc w:val="both"/>
        <w:rPr>
          <w:rFonts w:ascii="Times New Roman" w:hAnsi="Times New Roman"/>
          <w:sz w:val="24"/>
          <w:szCs w:val="24"/>
          <w:lang w:val="ro-RO"/>
        </w:rPr>
      </w:pP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Starea de securitate internaţională este adesea afectată de o serie de riscuri, de noi provocări pe arena internaţională, şi de asemenea, de noi vulnerabilităţi interne ale statelor. Aceste vulnerabilităţi pot produce ameninţaţi majore la adresa statelor în ceea ce priveşte ordinea şi pacea mondială.</w:t>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Datorită faptului că o dată cu trecerea timpului s-au adus conotaţii noi termenului de „securitate”, acest lucru a dus la asumarea atât de roluri cât şi de răspundere a societăţii, respectiv a statului.</w:t>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Ameninţările existente la ora actuală, sunt mult mai difuze, ascunse şi superficial definite faţă de anii de după perioada Războiului Rece. Toate acestea rezidă din acţiunea umană şi din modalitatea prin care se rezolvă problemele existente. Evoluţia instituţiilor de securitate, la nivel internaţional, reprezintă un proces continuu, cu multiple îmbunătăţiri şi oportunităţi, pentru fiecare ţară membră.</w:t>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r w:rsidRPr="00722CE2">
        <w:rPr>
          <w:rFonts w:ascii="Times New Roman" w:hAnsi="Times New Roman"/>
          <w:sz w:val="24"/>
          <w:szCs w:val="24"/>
        </w:rPr>
        <w:t>Trebuie să reţinem faptul că în contextul unor curente din aria relaţiilor internaţionale securitatea, la modul general şi politica de securitate, în special, deţin în nucleul de definire o multitudine de elemente ce ţin de valori etice, morale, sau religioase. Ceea ce reprezintă o adevărată problemă este aceea că toate acestea nu reprezintă acelaşi lucru şi nu sunt percepute asemănător, nicăieri în lume.</w:t>
      </w:r>
    </w:p>
    <w:p w:rsidR="00852CE2" w:rsidRPr="00722CE2" w:rsidRDefault="00852CE2" w:rsidP="00852CE2">
      <w:pPr>
        <w:autoSpaceDE w:val="0"/>
        <w:autoSpaceDN w:val="0"/>
        <w:adjustRightInd w:val="0"/>
        <w:spacing w:after="195"/>
        <w:ind w:firstLine="720"/>
        <w:jc w:val="both"/>
        <w:rPr>
          <w:rFonts w:ascii="Times New Roman" w:hAnsi="Times New Roman"/>
          <w:sz w:val="24"/>
          <w:szCs w:val="24"/>
        </w:rPr>
      </w:pPr>
    </w:p>
    <w:p w:rsidR="00541B27" w:rsidRPr="00722CE2" w:rsidRDefault="00541B27" w:rsidP="00541B27">
      <w:pPr>
        <w:ind w:firstLine="720"/>
        <w:jc w:val="both"/>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722CE2" w:rsidRDefault="00722CE2" w:rsidP="002444CC">
      <w:pPr>
        <w:ind w:firstLine="720"/>
        <w:jc w:val="center"/>
        <w:rPr>
          <w:rFonts w:ascii="Times New Roman" w:hAnsi="Times New Roman"/>
          <w:b/>
          <w:sz w:val="24"/>
          <w:szCs w:val="24"/>
          <w:lang w:val="ro-RO"/>
        </w:rPr>
      </w:pPr>
    </w:p>
    <w:p w:rsidR="002444CC" w:rsidRPr="00722CE2" w:rsidRDefault="00541B27" w:rsidP="00722CE2">
      <w:pPr>
        <w:ind w:firstLine="720"/>
        <w:jc w:val="center"/>
        <w:rPr>
          <w:rFonts w:ascii="Times New Roman" w:hAnsi="Times New Roman"/>
          <w:b/>
          <w:sz w:val="24"/>
          <w:szCs w:val="24"/>
          <w:lang w:val="ro-RO"/>
        </w:rPr>
      </w:pPr>
      <w:r w:rsidRPr="00722CE2">
        <w:rPr>
          <w:rFonts w:ascii="Times New Roman" w:hAnsi="Times New Roman"/>
          <w:b/>
          <w:sz w:val="24"/>
          <w:szCs w:val="24"/>
          <w:lang w:val="ro-RO"/>
        </w:rPr>
        <w:t>BIBLIOGRAFIE</w:t>
      </w:r>
    </w:p>
    <w:p w:rsidR="00541B27" w:rsidRPr="00722CE2" w:rsidRDefault="00541B27" w:rsidP="00541B27">
      <w:pPr>
        <w:ind w:firstLine="720"/>
        <w:jc w:val="both"/>
        <w:rPr>
          <w:rFonts w:ascii="Times New Roman" w:hAnsi="Times New Roman"/>
          <w:sz w:val="24"/>
          <w:szCs w:val="24"/>
          <w:lang w:val="ro-RO"/>
        </w:rPr>
      </w:pPr>
    </w:p>
    <w:p w:rsidR="00852CE2" w:rsidRPr="00722CE2" w:rsidRDefault="00852CE2" w:rsidP="00852CE2">
      <w:pPr>
        <w:autoSpaceDE w:val="0"/>
        <w:autoSpaceDN w:val="0"/>
        <w:adjustRightInd w:val="0"/>
        <w:spacing w:after="0" w:line="360" w:lineRule="auto"/>
        <w:rPr>
          <w:rFonts w:ascii="Times New Roman" w:hAnsi="Times New Roman"/>
          <w:b/>
          <w:bCs/>
          <w:i/>
          <w:iCs/>
          <w:sz w:val="24"/>
          <w:szCs w:val="24"/>
        </w:rPr>
      </w:pPr>
      <w:r w:rsidRPr="00722CE2">
        <w:rPr>
          <w:rFonts w:ascii="Times New Roman" w:hAnsi="Times New Roman"/>
          <w:b/>
          <w:bCs/>
          <w:i/>
          <w:iCs/>
          <w:sz w:val="24"/>
          <w:szCs w:val="24"/>
        </w:rPr>
        <w:t>Articole:</w:t>
      </w:r>
    </w:p>
    <w:p w:rsidR="00852CE2" w:rsidRPr="00722CE2" w:rsidRDefault="00852CE2" w:rsidP="00852CE2">
      <w:pPr>
        <w:autoSpaceDE w:val="0"/>
        <w:autoSpaceDN w:val="0"/>
        <w:adjustRightInd w:val="0"/>
        <w:spacing w:after="0" w:line="360" w:lineRule="auto"/>
        <w:rPr>
          <w:rFonts w:ascii="Times New Roman" w:hAnsi="Times New Roman"/>
          <w:sz w:val="24"/>
          <w:szCs w:val="24"/>
        </w:rPr>
      </w:pPr>
    </w:p>
    <w:p w:rsidR="00852CE2" w:rsidRPr="00722CE2" w:rsidRDefault="00852CE2" w:rsidP="00852CE2">
      <w:pPr>
        <w:numPr>
          <w:ilvl w:val="0"/>
          <w:numId w:val="13"/>
        </w:numPr>
        <w:autoSpaceDE w:val="0"/>
        <w:autoSpaceDN w:val="0"/>
        <w:adjustRightInd w:val="0"/>
        <w:spacing w:after="0" w:line="360" w:lineRule="auto"/>
        <w:rPr>
          <w:rFonts w:ascii="Times New Roman" w:hAnsi="Times New Roman"/>
          <w:sz w:val="24"/>
          <w:szCs w:val="24"/>
        </w:rPr>
      </w:pPr>
      <w:r w:rsidRPr="00722CE2">
        <w:rPr>
          <w:rFonts w:ascii="Times New Roman" w:hAnsi="Times New Roman"/>
          <w:sz w:val="24"/>
          <w:szCs w:val="24"/>
        </w:rPr>
        <w:t>C. Hlihor, “</w:t>
      </w:r>
      <w:r w:rsidRPr="00722CE2">
        <w:rPr>
          <w:rFonts w:ascii="Times New Roman" w:hAnsi="Times New Roman"/>
          <w:i/>
          <w:iCs/>
          <w:sz w:val="24"/>
          <w:szCs w:val="24"/>
        </w:rPr>
        <w:t>The Role of Geopolitics în the Analysis of the Contemporary Political Phenomenon”,</w:t>
      </w:r>
      <w:r w:rsidRPr="00722CE2">
        <w:rPr>
          <w:rFonts w:ascii="Times New Roman" w:hAnsi="Times New Roman"/>
          <w:sz w:val="24"/>
          <w:szCs w:val="24"/>
        </w:rPr>
        <w:t xml:space="preserve"> în </w:t>
      </w:r>
      <w:r w:rsidRPr="00722CE2">
        <w:rPr>
          <w:rFonts w:ascii="Times New Roman" w:hAnsi="Times New Roman"/>
          <w:i/>
          <w:iCs/>
          <w:sz w:val="24"/>
          <w:szCs w:val="24"/>
        </w:rPr>
        <w:t>Euro-Atlantic Studies</w:t>
      </w:r>
      <w:r w:rsidRPr="00722CE2">
        <w:rPr>
          <w:rFonts w:ascii="Times New Roman" w:hAnsi="Times New Roman"/>
          <w:sz w:val="24"/>
          <w:szCs w:val="24"/>
        </w:rPr>
        <w:t>, 1999, 2</w:t>
      </w:r>
    </w:p>
    <w:p w:rsidR="00852CE2" w:rsidRPr="00722CE2" w:rsidRDefault="00852CE2" w:rsidP="00852CE2">
      <w:pPr>
        <w:numPr>
          <w:ilvl w:val="0"/>
          <w:numId w:val="13"/>
        </w:numPr>
        <w:autoSpaceDE w:val="0"/>
        <w:autoSpaceDN w:val="0"/>
        <w:adjustRightInd w:val="0"/>
        <w:spacing w:after="0" w:line="360" w:lineRule="auto"/>
        <w:rPr>
          <w:rFonts w:ascii="Times New Roman" w:hAnsi="Times New Roman"/>
          <w:sz w:val="24"/>
          <w:szCs w:val="24"/>
        </w:rPr>
      </w:pPr>
      <w:r w:rsidRPr="00722CE2">
        <w:rPr>
          <w:rFonts w:ascii="Times New Roman" w:hAnsi="Times New Roman"/>
          <w:sz w:val="24"/>
          <w:szCs w:val="24"/>
        </w:rPr>
        <w:t>Sergiu Borşa, “</w:t>
      </w:r>
      <w:r w:rsidRPr="00722CE2">
        <w:rPr>
          <w:rFonts w:ascii="Times New Roman" w:hAnsi="Times New Roman"/>
          <w:i/>
          <w:iCs/>
          <w:sz w:val="24"/>
          <w:szCs w:val="24"/>
        </w:rPr>
        <w:t>Securitatea şi noua ordine socială</w:t>
      </w:r>
      <w:r w:rsidRPr="00722CE2">
        <w:rPr>
          <w:rFonts w:ascii="Times New Roman" w:hAnsi="Times New Roman"/>
          <w:sz w:val="24"/>
          <w:szCs w:val="24"/>
        </w:rPr>
        <w:t xml:space="preserve">”, în Revista </w:t>
      </w:r>
      <w:r w:rsidRPr="00722CE2">
        <w:rPr>
          <w:rFonts w:ascii="Times New Roman" w:hAnsi="Times New Roman"/>
          <w:i/>
          <w:iCs/>
          <w:sz w:val="24"/>
          <w:szCs w:val="24"/>
        </w:rPr>
        <w:t xml:space="preserve">Intelligence, </w:t>
      </w:r>
      <w:r w:rsidRPr="00722CE2">
        <w:rPr>
          <w:rFonts w:ascii="Times New Roman" w:hAnsi="Times New Roman"/>
          <w:sz w:val="24"/>
          <w:szCs w:val="24"/>
        </w:rPr>
        <w:t>nr. 21, martie - mai 2012</w:t>
      </w:r>
    </w:p>
    <w:p w:rsidR="00852CE2" w:rsidRPr="00722CE2" w:rsidRDefault="00852CE2" w:rsidP="00852CE2">
      <w:pPr>
        <w:autoSpaceDE w:val="0"/>
        <w:autoSpaceDN w:val="0"/>
        <w:adjustRightInd w:val="0"/>
        <w:spacing w:after="0" w:line="360" w:lineRule="auto"/>
        <w:rPr>
          <w:rFonts w:ascii="Times New Roman" w:hAnsi="Times New Roman"/>
          <w:sz w:val="24"/>
          <w:szCs w:val="24"/>
        </w:rPr>
      </w:pPr>
    </w:p>
    <w:p w:rsidR="00852CE2" w:rsidRPr="00722CE2" w:rsidRDefault="00852CE2" w:rsidP="00852CE2">
      <w:pPr>
        <w:autoSpaceDE w:val="0"/>
        <w:autoSpaceDN w:val="0"/>
        <w:adjustRightInd w:val="0"/>
        <w:spacing w:after="0" w:line="360" w:lineRule="auto"/>
        <w:rPr>
          <w:rFonts w:ascii="Times New Roman" w:hAnsi="Times New Roman"/>
          <w:b/>
          <w:bCs/>
          <w:i/>
          <w:iCs/>
          <w:sz w:val="24"/>
          <w:szCs w:val="24"/>
        </w:rPr>
      </w:pPr>
      <w:r w:rsidRPr="00722CE2">
        <w:rPr>
          <w:rFonts w:ascii="Times New Roman" w:hAnsi="Times New Roman"/>
          <w:b/>
          <w:bCs/>
          <w:i/>
          <w:iCs/>
          <w:sz w:val="24"/>
          <w:szCs w:val="24"/>
        </w:rPr>
        <w:t>Cărţi:</w:t>
      </w:r>
    </w:p>
    <w:p w:rsidR="00852CE2" w:rsidRPr="00722CE2" w:rsidRDefault="00852CE2" w:rsidP="00852CE2">
      <w:pPr>
        <w:numPr>
          <w:ilvl w:val="0"/>
          <w:numId w:val="14"/>
        </w:numPr>
        <w:autoSpaceDE w:val="0"/>
        <w:autoSpaceDN w:val="0"/>
        <w:adjustRightInd w:val="0"/>
        <w:spacing w:after="0" w:line="360" w:lineRule="auto"/>
        <w:rPr>
          <w:rFonts w:ascii="Times New Roman" w:hAnsi="Times New Roman"/>
          <w:sz w:val="24"/>
          <w:szCs w:val="24"/>
        </w:rPr>
      </w:pPr>
      <w:r w:rsidRPr="00722CE2">
        <w:rPr>
          <w:rFonts w:ascii="Times New Roman" w:hAnsi="Times New Roman"/>
          <w:sz w:val="24"/>
          <w:szCs w:val="24"/>
        </w:rPr>
        <w:t>Monica Ioana Bălan, “</w:t>
      </w:r>
      <w:r w:rsidRPr="00722CE2">
        <w:rPr>
          <w:rFonts w:ascii="Times New Roman" w:hAnsi="Times New Roman"/>
          <w:i/>
          <w:iCs/>
          <w:sz w:val="24"/>
          <w:szCs w:val="24"/>
        </w:rPr>
        <w:t>Caracteristici ale structurilor de securitate din perioada antică, medieval şi modernă timpurie</w:t>
      </w:r>
      <w:r w:rsidRPr="00722CE2">
        <w:rPr>
          <w:rFonts w:ascii="Times New Roman" w:hAnsi="Times New Roman"/>
          <w:sz w:val="24"/>
          <w:szCs w:val="24"/>
        </w:rPr>
        <w:t xml:space="preserve">”, în Revista </w:t>
      </w:r>
      <w:r w:rsidRPr="00722CE2">
        <w:rPr>
          <w:rFonts w:ascii="Times New Roman" w:hAnsi="Times New Roman"/>
          <w:i/>
          <w:iCs/>
          <w:sz w:val="24"/>
          <w:szCs w:val="24"/>
        </w:rPr>
        <w:t xml:space="preserve">Intelligence, </w:t>
      </w:r>
      <w:r w:rsidRPr="00722CE2">
        <w:rPr>
          <w:rFonts w:ascii="Times New Roman" w:hAnsi="Times New Roman"/>
          <w:sz w:val="24"/>
          <w:szCs w:val="24"/>
        </w:rPr>
        <w:t>nr. 21, martie - mai 2012</w:t>
      </w:r>
    </w:p>
    <w:p w:rsidR="00852CE2" w:rsidRPr="00722CE2" w:rsidRDefault="00852CE2" w:rsidP="00852CE2">
      <w:pPr>
        <w:autoSpaceDE w:val="0"/>
        <w:autoSpaceDN w:val="0"/>
        <w:adjustRightInd w:val="0"/>
        <w:spacing w:after="0" w:line="360" w:lineRule="auto"/>
        <w:rPr>
          <w:rFonts w:ascii="Times New Roman" w:hAnsi="Times New Roman"/>
          <w:sz w:val="24"/>
          <w:szCs w:val="24"/>
        </w:rPr>
      </w:pPr>
    </w:p>
    <w:p w:rsidR="00852CE2" w:rsidRPr="00722CE2" w:rsidRDefault="00852CE2" w:rsidP="00852CE2">
      <w:pPr>
        <w:numPr>
          <w:ilvl w:val="0"/>
          <w:numId w:val="14"/>
        </w:numPr>
        <w:autoSpaceDE w:val="0"/>
        <w:autoSpaceDN w:val="0"/>
        <w:adjustRightInd w:val="0"/>
        <w:spacing w:after="0" w:line="360" w:lineRule="auto"/>
        <w:jc w:val="both"/>
        <w:rPr>
          <w:rFonts w:ascii="Times New Roman" w:hAnsi="Times New Roman"/>
          <w:sz w:val="24"/>
          <w:szCs w:val="24"/>
        </w:rPr>
      </w:pPr>
      <w:r w:rsidRPr="00722CE2">
        <w:rPr>
          <w:rFonts w:ascii="Times New Roman" w:hAnsi="Times New Roman"/>
          <w:sz w:val="24"/>
          <w:szCs w:val="24"/>
        </w:rPr>
        <w:t>Visarion Neagoe şi Ina Raluxa Tomescu, “</w:t>
      </w:r>
      <w:r w:rsidRPr="00722CE2">
        <w:rPr>
          <w:rFonts w:ascii="Times New Roman" w:hAnsi="Times New Roman"/>
          <w:i/>
          <w:iCs/>
          <w:sz w:val="24"/>
          <w:szCs w:val="24"/>
        </w:rPr>
        <w:t>Geopilitica şi strategii de securitate</w:t>
      </w:r>
      <w:r w:rsidRPr="00722CE2">
        <w:rPr>
          <w:rFonts w:ascii="Times New Roman" w:hAnsi="Times New Roman"/>
          <w:sz w:val="24"/>
          <w:szCs w:val="24"/>
        </w:rPr>
        <w:t>”, Ed. Universităţii Naţionale de Apărare, Bucureşti, 2005 Mircea Malița, “</w:t>
      </w:r>
      <w:r w:rsidRPr="00722CE2">
        <w:rPr>
          <w:rFonts w:ascii="Times New Roman" w:hAnsi="Times New Roman"/>
          <w:i/>
          <w:iCs/>
          <w:sz w:val="24"/>
          <w:szCs w:val="24"/>
        </w:rPr>
        <w:t>Diplomaţia</w:t>
      </w:r>
      <w:r w:rsidRPr="00722CE2">
        <w:rPr>
          <w:rFonts w:ascii="Times New Roman" w:hAnsi="Times New Roman"/>
          <w:sz w:val="24"/>
          <w:szCs w:val="24"/>
        </w:rPr>
        <w:t>”, Ed. Didactică şi Pedagogică, Bucureşti, 1975</w:t>
      </w:r>
    </w:p>
    <w:p w:rsidR="00852CE2" w:rsidRPr="00722CE2" w:rsidRDefault="00852CE2" w:rsidP="00852CE2">
      <w:pPr>
        <w:numPr>
          <w:ilvl w:val="0"/>
          <w:numId w:val="14"/>
        </w:numPr>
        <w:autoSpaceDE w:val="0"/>
        <w:autoSpaceDN w:val="0"/>
        <w:adjustRightInd w:val="0"/>
        <w:spacing w:after="0" w:line="360" w:lineRule="auto"/>
        <w:rPr>
          <w:rFonts w:ascii="Times New Roman" w:hAnsi="Times New Roman"/>
          <w:sz w:val="24"/>
          <w:szCs w:val="24"/>
        </w:rPr>
      </w:pPr>
      <w:r w:rsidRPr="00722CE2">
        <w:rPr>
          <w:rFonts w:ascii="Times New Roman" w:hAnsi="Times New Roman"/>
          <w:sz w:val="24"/>
          <w:szCs w:val="24"/>
        </w:rPr>
        <w:t>Joshua Goldstein şi Jon Pevehouse, “</w:t>
      </w:r>
      <w:r w:rsidRPr="00722CE2">
        <w:rPr>
          <w:rFonts w:ascii="Times New Roman" w:hAnsi="Times New Roman"/>
          <w:i/>
          <w:iCs/>
          <w:sz w:val="24"/>
          <w:szCs w:val="24"/>
        </w:rPr>
        <w:t>Relaţii Internaţionale</w:t>
      </w:r>
      <w:r w:rsidRPr="00722CE2">
        <w:rPr>
          <w:rFonts w:ascii="Times New Roman" w:hAnsi="Times New Roman"/>
          <w:sz w:val="24"/>
          <w:szCs w:val="24"/>
        </w:rPr>
        <w:t>”, Ed. Polirom, 2008, Bucureşti</w:t>
      </w:r>
    </w:p>
    <w:p w:rsidR="00852CE2" w:rsidRPr="00722CE2" w:rsidRDefault="00852CE2" w:rsidP="00852CE2">
      <w:pPr>
        <w:autoSpaceDE w:val="0"/>
        <w:autoSpaceDN w:val="0"/>
        <w:adjustRightInd w:val="0"/>
        <w:spacing w:after="0" w:line="360" w:lineRule="auto"/>
        <w:rPr>
          <w:rFonts w:ascii="Times New Roman" w:hAnsi="Times New Roman"/>
          <w:sz w:val="24"/>
          <w:szCs w:val="24"/>
        </w:rPr>
      </w:pPr>
    </w:p>
    <w:p w:rsidR="00852CE2" w:rsidRPr="00722CE2" w:rsidRDefault="00852CE2" w:rsidP="00852CE2">
      <w:pPr>
        <w:numPr>
          <w:ilvl w:val="0"/>
          <w:numId w:val="14"/>
        </w:numPr>
        <w:autoSpaceDE w:val="0"/>
        <w:autoSpaceDN w:val="0"/>
        <w:adjustRightInd w:val="0"/>
        <w:spacing w:after="0" w:line="360" w:lineRule="auto"/>
        <w:rPr>
          <w:rFonts w:ascii="Times New Roman" w:hAnsi="Times New Roman"/>
          <w:sz w:val="24"/>
          <w:szCs w:val="24"/>
        </w:rPr>
      </w:pPr>
      <w:r w:rsidRPr="00722CE2">
        <w:rPr>
          <w:rFonts w:ascii="Times New Roman" w:hAnsi="Times New Roman"/>
          <w:sz w:val="24"/>
          <w:szCs w:val="24"/>
        </w:rPr>
        <w:t>Marthin Griffiths, „Relaţii Internationale- şcoli, curente, gânditori”, Ed. Ziua, Bucureşti, 2003</w:t>
      </w:r>
    </w:p>
    <w:p w:rsidR="00852CE2" w:rsidRPr="00722CE2" w:rsidRDefault="00852CE2" w:rsidP="00852CE2">
      <w:pPr>
        <w:numPr>
          <w:ilvl w:val="0"/>
          <w:numId w:val="14"/>
        </w:numPr>
        <w:autoSpaceDE w:val="0"/>
        <w:autoSpaceDN w:val="0"/>
        <w:adjustRightInd w:val="0"/>
        <w:spacing w:after="0" w:line="360" w:lineRule="auto"/>
        <w:rPr>
          <w:rFonts w:ascii="Times New Roman" w:hAnsi="Times New Roman"/>
          <w:sz w:val="24"/>
          <w:szCs w:val="24"/>
        </w:rPr>
      </w:pPr>
      <w:r w:rsidRPr="00722CE2">
        <w:rPr>
          <w:rFonts w:ascii="Times New Roman" w:hAnsi="Times New Roman"/>
          <w:sz w:val="24"/>
          <w:szCs w:val="24"/>
        </w:rPr>
        <w:t>Andrei Miroiu şi Radu Sebastian Ungureanu, „Manual de Relaţii Internaţionale, Ed. Polirom, Bucureşti”, 2006</w:t>
      </w:r>
    </w:p>
    <w:p w:rsidR="00852CE2" w:rsidRPr="00722CE2" w:rsidRDefault="00852CE2" w:rsidP="00852CE2">
      <w:pPr>
        <w:numPr>
          <w:ilvl w:val="0"/>
          <w:numId w:val="14"/>
        </w:numPr>
        <w:autoSpaceDE w:val="0"/>
        <w:autoSpaceDN w:val="0"/>
        <w:adjustRightInd w:val="0"/>
        <w:spacing w:after="0" w:line="360" w:lineRule="auto"/>
        <w:rPr>
          <w:rFonts w:ascii="Times New Roman" w:hAnsi="Times New Roman"/>
          <w:sz w:val="24"/>
          <w:szCs w:val="24"/>
        </w:rPr>
      </w:pPr>
      <w:r w:rsidRPr="00722CE2">
        <w:rPr>
          <w:rFonts w:ascii="Times New Roman" w:hAnsi="Times New Roman"/>
          <w:sz w:val="24"/>
          <w:szCs w:val="24"/>
        </w:rPr>
        <w:t>Ion Bari, „Probleme globale contemporane”, Ed. Economică, Bucureşti, 2003</w:t>
      </w:r>
    </w:p>
    <w:p w:rsidR="002444CC" w:rsidRPr="00722CE2" w:rsidRDefault="00852CE2" w:rsidP="002444CC">
      <w:pPr>
        <w:numPr>
          <w:ilvl w:val="0"/>
          <w:numId w:val="14"/>
        </w:numPr>
        <w:autoSpaceDE w:val="0"/>
        <w:autoSpaceDN w:val="0"/>
        <w:adjustRightInd w:val="0"/>
        <w:spacing w:after="0" w:line="360" w:lineRule="auto"/>
        <w:rPr>
          <w:rFonts w:ascii="Times New Roman" w:hAnsi="Times New Roman"/>
          <w:sz w:val="24"/>
          <w:szCs w:val="24"/>
        </w:rPr>
      </w:pPr>
      <w:r w:rsidRPr="00722CE2">
        <w:rPr>
          <w:rFonts w:ascii="Times New Roman" w:hAnsi="Times New Roman"/>
          <w:sz w:val="24"/>
          <w:szCs w:val="24"/>
        </w:rPr>
        <w:t>Ion Pal</w:t>
      </w:r>
      <w:r w:rsidRPr="00722CE2">
        <w:rPr>
          <w:rFonts w:ascii="Times New Roman" w:hAnsi="Times New Roman"/>
          <w:sz w:val="24"/>
          <w:szCs w:val="24"/>
          <w:lang w:val="ro-RO"/>
        </w:rPr>
        <w:t>ș</w:t>
      </w:r>
      <w:r w:rsidRPr="00722CE2">
        <w:rPr>
          <w:rFonts w:ascii="Times New Roman" w:hAnsi="Times New Roman"/>
          <w:sz w:val="24"/>
          <w:szCs w:val="24"/>
        </w:rPr>
        <w:t>oiu, „Relaţii Internaţionale şi structuri de securitate”, Ed. Autograf, Craiova, 2008</w:t>
      </w:r>
    </w:p>
    <w:p w:rsidR="002444CC" w:rsidRPr="00722CE2" w:rsidRDefault="002444CC" w:rsidP="002444CC">
      <w:pPr>
        <w:pStyle w:val="FootnoteText"/>
        <w:spacing w:line="360" w:lineRule="auto"/>
        <w:rPr>
          <w:rFonts w:ascii="Times New Roman" w:hAnsi="Times New Roman"/>
          <w:sz w:val="24"/>
          <w:szCs w:val="24"/>
        </w:rPr>
      </w:pPr>
    </w:p>
    <w:p w:rsidR="002444CC" w:rsidRPr="00722CE2" w:rsidRDefault="002444CC" w:rsidP="002444CC">
      <w:pPr>
        <w:pStyle w:val="FootnoteText"/>
        <w:spacing w:line="360" w:lineRule="auto"/>
        <w:rPr>
          <w:rFonts w:ascii="Times New Roman" w:hAnsi="Times New Roman"/>
          <w:b/>
          <w:i/>
          <w:sz w:val="24"/>
          <w:szCs w:val="24"/>
        </w:rPr>
      </w:pPr>
      <w:r w:rsidRPr="00722CE2">
        <w:rPr>
          <w:rFonts w:ascii="Times New Roman" w:hAnsi="Times New Roman"/>
          <w:b/>
          <w:i/>
          <w:sz w:val="24"/>
          <w:szCs w:val="24"/>
        </w:rPr>
        <w:t>Link-uri internet:</w:t>
      </w:r>
    </w:p>
    <w:p w:rsidR="002444CC" w:rsidRPr="00722CE2" w:rsidRDefault="002444CC" w:rsidP="002444CC">
      <w:pPr>
        <w:pStyle w:val="FootnoteText"/>
        <w:spacing w:line="360" w:lineRule="auto"/>
        <w:rPr>
          <w:rFonts w:ascii="Times New Roman" w:hAnsi="Times New Roman"/>
          <w:sz w:val="24"/>
          <w:szCs w:val="24"/>
        </w:rPr>
      </w:pPr>
    </w:p>
    <w:p w:rsidR="002444CC" w:rsidRPr="00722CE2" w:rsidRDefault="00D61E8C" w:rsidP="002444CC">
      <w:pPr>
        <w:pStyle w:val="FootnoteText"/>
        <w:numPr>
          <w:ilvl w:val="0"/>
          <w:numId w:val="5"/>
        </w:numPr>
        <w:spacing w:line="360" w:lineRule="auto"/>
        <w:ind w:left="0" w:firstLine="0"/>
        <w:rPr>
          <w:rFonts w:ascii="Times New Roman" w:hAnsi="Times New Roman"/>
          <w:sz w:val="24"/>
          <w:szCs w:val="24"/>
        </w:rPr>
      </w:pPr>
      <w:hyperlink r:id="rId8" w:history="1">
        <w:r w:rsidR="002444CC" w:rsidRPr="00722CE2">
          <w:rPr>
            <w:rStyle w:val="Hyperlink"/>
            <w:rFonts w:ascii="Times New Roman" w:hAnsi="Times New Roman"/>
            <w:sz w:val="24"/>
            <w:szCs w:val="24"/>
          </w:rPr>
          <w:t>http://www.nato.int/nato_static/assets/pdf/pdf_publications/20120412_ShortHistory_en.pdf</w:t>
        </w:r>
      </w:hyperlink>
    </w:p>
    <w:p w:rsidR="00541B27" w:rsidRPr="00722CE2" w:rsidRDefault="00541B27" w:rsidP="002444CC">
      <w:pPr>
        <w:spacing w:after="0" w:line="360" w:lineRule="auto"/>
        <w:jc w:val="both"/>
        <w:rPr>
          <w:rFonts w:ascii="Times New Roman" w:hAnsi="Times New Roman"/>
          <w:sz w:val="24"/>
          <w:szCs w:val="24"/>
          <w:lang w:val="ro-RO"/>
        </w:rPr>
      </w:pPr>
    </w:p>
    <w:p w:rsidR="002444CC" w:rsidRPr="00722CE2" w:rsidRDefault="00D61E8C" w:rsidP="00722CE2">
      <w:pPr>
        <w:pStyle w:val="ListParagraph"/>
        <w:numPr>
          <w:ilvl w:val="0"/>
          <w:numId w:val="5"/>
        </w:numPr>
        <w:spacing w:after="0" w:line="360" w:lineRule="auto"/>
        <w:ind w:left="0" w:firstLine="0"/>
        <w:rPr>
          <w:rFonts w:ascii="Times New Roman" w:hAnsi="Times New Roman"/>
          <w:sz w:val="24"/>
          <w:szCs w:val="24"/>
        </w:rPr>
      </w:pPr>
      <w:hyperlink r:id="rId9" w:history="1">
        <w:r w:rsidR="002444CC" w:rsidRPr="00722CE2">
          <w:rPr>
            <w:rStyle w:val="Hyperlink"/>
            <w:rFonts w:ascii="Times New Roman" w:hAnsi="Times New Roman"/>
            <w:sz w:val="24"/>
            <w:szCs w:val="24"/>
          </w:rPr>
          <w:t>http://www.nato.int/welcome/brochure_WhatIsNATO_en.pdf</w:t>
        </w:r>
      </w:hyperlink>
    </w:p>
    <w:sectPr w:rsidR="002444CC" w:rsidRPr="00722C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07C0" w:rsidRDefault="00D107C0" w:rsidP="00AA22B0">
      <w:pPr>
        <w:spacing w:after="0" w:line="240" w:lineRule="auto"/>
      </w:pPr>
      <w:r>
        <w:separator/>
      </w:r>
    </w:p>
  </w:endnote>
  <w:endnote w:type="continuationSeparator" w:id="0">
    <w:p w:rsidR="00D107C0" w:rsidRDefault="00D107C0" w:rsidP="00AA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07C0" w:rsidRDefault="00D107C0" w:rsidP="00AA22B0">
      <w:pPr>
        <w:spacing w:after="0" w:line="240" w:lineRule="auto"/>
      </w:pPr>
      <w:r>
        <w:separator/>
      </w:r>
    </w:p>
  </w:footnote>
  <w:footnote w:type="continuationSeparator" w:id="0">
    <w:p w:rsidR="00D107C0" w:rsidRDefault="00D107C0" w:rsidP="00AA22B0">
      <w:pPr>
        <w:spacing w:after="0" w:line="240" w:lineRule="auto"/>
      </w:pPr>
      <w:r>
        <w:continuationSeparator/>
      </w:r>
    </w:p>
  </w:footnote>
  <w:footnote w:id="1">
    <w:p w:rsidR="00852CE2" w:rsidRDefault="00852CE2" w:rsidP="002444CC">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A se vedea C. Hlihor, “</w:t>
      </w:r>
      <w:r>
        <w:rPr>
          <w:rFonts w:cs="Calibri"/>
          <w:i/>
          <w:iCs/>
          <w:sz w:val="20"/>
          <w:szCs w:val="20"/>
        </w:rPr>
        <w:t>The Role of Geopolitics in the Analysis of the Contemporary Political Phenomenon”,</w:t>
      </w:r>
      <w:r>
        <w:rPr>
          <w:rFonts w:cs="Calibri"/>
          <w:sz w:val="20"/>
          <w:szCs w:val="20"/>
        </w:rPr>
        <w:t xml:space="preserve"> in </w:t>
      </w:r>
      <w:r>
        <w:rPr>
          <w:rFonts w:cs="Calibri"/>
          <w:i/>
          <w:iCs/>
          <w:sz w:val="20"/>
          <w:szCs w:val="20"/>
        </w:rPr>
        <w:t>Euro-Atlantic Studies</w:t>
      </w:r>
      <w:r>
        <w:rPr>
          <w:rFonts w:cs="Calibri"/>
          <w:sz w:val="20"/>
          <w:szCs w:val="20"/>
        </w:rPr>
        <w:t>, 1999, 2, p.15-23. (C. Hlihor consideră geopolitica drept o ramură a ştiinţelor socio-umane)</w:t>
      </w:r>
    </w:p>
  </w:footnote>
  <w:footnote w:id="2">
    <w:p w:rsidR="00852CE2" w:rsidRDefault="00852CE2" w:rsidP="002444CC">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Documentul s-a intitulat “</w:t>
      </w:r>
      <w:r>
        <w:rPr>
          <w:rFonts w:cs="Calibri"/>
          <w:i/>
          <w:iCs/>
          <w:sz w:val="20"/>
          <w:szCs w:val="20"/>
        </w:rPr>
        <w:t>Legea securit</w:t>
      </w:r>
      <w:r>
        <w:rPr>
          <w:rFonts w:cs="Calibri"/>
          <w:i/>
          <w:iCs/>
          <w:sz w:val="20"/>
          <w:szCs w:val="20"/>
          <w:lang w:val="ro-RO"/>
        </w:rPr>
        <w:t>ăț</w:t>
      </w:r>
      <w:r>
        <w:rPr>
          <w:rFonts w:cs="Calibri"/>
          <w:i/>
          <w:iCs/>
          <w:sz w:val="20"/>
          <w:szCs w:val="20"/>
        </w:rPr>
        <w:t>ii na</w:t>
      </w:r>
      <w:r>
        <w:rPr>
          <w:rFonts w:cs="Calibri"/>
          <w:i/>
          <w:iCs/>
          <w:sz w:val="20"/>
          <w:szCs w:val="20"/>
          <w:lang w:val="ro-RO"/>
        </w:rPr>
        <w:t>ț</w:t>
      </w:r>
      <w:r>
        <w:rPr>
          <w:rFonts w:cs="Calibri"/>
          <w:i/>
          <w:iCs/>
          <w:sz w:val="20"/>
          <w:szCs w:val="20"/>
        </w:rPr>
        <w:t>ionale a Statelor Unite”</w:t>
      </w:r>
      <w:r>
        <w:rPr>
          <w:rFonts w:cs="Calibri"/>
          <w:sz w:val="20"/>
          <w:szCs w:val="20"/>
        </w:rPr>
        <w:t xml:space="preserve"> , redactat </w:t>
      </w:r>
      <w:r>
        <w:rPr>
          <w:rFonts w:cs="Calibri"/>
          <w:sz w:val="20"/>
          <w:szCs w:val="20"/>
          <w:lang w:val="ro-RO"/>
        </w:rPr>
        <w:t>î</w:t>
      </w:r>
      <w:r>
        <w:rPr>
          <w:rFonts w:cs="Calibri"/>
          <w:sz w:val="20"/>
          <w:szCs w:val="20"/>
        </w:rPr>
        <w:t>n anul 1947</w:t>
      </w:r>
    </w:p>
  </w:footnote>
  <w:footnote w:id="3">
    <w:p w:rsidR="00852CE2" w:rsidRDefault="00852CE2" w:rsidP="002444CC">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Monica Ioana B</w:t>
      </w:r>
      <w:r>
        <w:rPr>
          <w:rFonts w:cs="Calibri"/>
          <w:sz w:val="20"/>
          <w:szCs w:val="20"/>
          <w:lang w:val="ro-RO"/>
        </w:rPr>
        <w:t>ă</w:t>
      </w:r>
      <w:r>
        <w:rPr>
          <w:rFonts w:cs="Calibri"/>
          <w:sz w:val="20"/>
          <w:szCs w:val="20"/>
        </w:rPr>
        <w:t>lan, “</w:t>
      </w:r>
      <w:r>
        <w:rPr>
          <w:rFonts w:cs="Calibri"/>
          <w:i/>
          <w:iCs/>
          <w:sz w:val="20"/>
          <w:szCs w:val="20"/>
        </w:rPr>
        <w:t>Caracteristici ale structurilor de securitate din perioada antic</w:t>
      </w:r>
      <w:r>
        <w:rPr>
          <w:rFonts w:cs="Calibri"/>
          <w:i/>
          <w:iCs/>
          <w:sz w:val="20"/>
          <w:szCs w:val="20"/>
          <w:lang w:val="ro-RO"/>
        </w:rPr>
        <w:t>ă</w:t>
      </w:r>
      <w:r>
        <w:rPr>
          <w:rFonts w:cs="Calibri"/>
          <w:i/>
          <w:iCs/>
          <w:sz w:val="20"/>
          <w:szCs w:val="20"/>
        </w:rPr>
        <w:t>, medieval</w:t>
      </w:r>
      <w:r>
        <w:rPr>
          <w:rFonts w:cs="Calibri"/>
          <w:i/>
          <w:iCs/>
          <w:sz w:val="20"/>
          <w:szCs w:val="20"/>
          <w:lang w:val="ro-RO"/>
        </w:rPr>
        <w:t>ă</w:t>
      </w:r>
      <w:r>
        <w:rPr>
          <w:rFonts w:cs="Calibri"/>
          <w:i/>
          <w:iCs/>
          <w:sz w:val="20"/>
          <w:szCs w:val="20"/>
        </w:rPr>
        <w:t xml:space="preserve"> </w:t>
      </w:r>
      <w:r>
        <w:rPr>
          <w:rFonts w:cs="Calibri"/>
          <w:i/>
          <w:iCs/>
          <w:sz w:val="20"/>
          <w:szCs w:val="20"/>
          <w:lang w:val="ro-RO"/>
        </w:rPr>
        <w:t>ș</w:t>
      </w:r>
      <w:r>
        <w:rPr>
          <w:rFonts w:cs="Calibri"/>
          <w:i/>
          <w:iCs/>
          <w:sz w:val="20"/>
          <w:szCs w:val="20"/>
        </w:rPr>
        <w:t>i modern</w:t>
      </w:r>
      <w:r>
        <w:rPr>
          <w:rFonts w:cs="Calibri"/>
          <w:i/>
          <w:iCs/>
          <w:sz w:val="20"/>
          <w:szCs w:val="20"/>
          <w:lang w:val="ro-RO"/>
        </w:rPr>
        <w:t>ă</w:t>
      </w:r>
      <w:r>
        <w:rPr>
          <w:rFonts w:cs="Calibri"/>
          <w:i/>
          <w:iCs/>
          <w:sz w:val="20"/>
          <w:szCs w:val="20"/>
        </w:rPr>
        <w:t xml:space="preserve"> timpurie</w:t>
      </w:r>
      <w:r>
        <w:rPr>
          <w:rFonts w:cs="Calibri"/>
          <w:sz w:val="20"/>
          <w:szCs w:val="20"/>
        </w:rPr>
        <w:t xml:space="preserve">”, in Revista </w:t>
      </w:r>
      <w:r>
        <w:rPr>
          <w:rFonts w:cs="Calibri"/>
          <w:i/>
          <w:iCs/>
          <w:sz w:val="20"/>
          <w:szCs w:val="20"/>
        </w:rPr>
        <w:t xml:space="preserve">Intelligence, </w:t>
      </w:r>
      <w:r>
        <w:rPr>
          <w:rFonts w:cs="Calibri"/>
          <w:sz w:val="20"/>
          <w:szCs w:val="20"/>
        </w:rPr>
        <w:t>nr. 21, martie - mai 2012, p. 128</w:t>
      </w:r>
    </w:p>
  </w:footnote>
  <w:footnote w:id="4">
    <w:p w:rsidR="00852CE2" w:rsidRDefault="00852CE2" w:rsidP="002444CC">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w:t>
      </w:r>
      <w:r>
        <w:rPr>
          <w:rFonts w:cs="Calibri"/>
          <w:i/>
          <w:iCs/>
          <w:sz w:val="20"/>
          <w:szCs w:val="20"/>
        </w:rPr>
        <w:t>Ibidem</w:t>
      </w:r>
      <w:r>
        <w:rPr>
          <w:rFonts w:cs="Calibri"/>
          <w:sz w:val="20"/>
          <w:szCs w:val="20"/>
        </w:rPr>
        <w:t>, p. 128</w:t>
      </w:r>
    </w:p>
  </w:footnote>
  <w:footnote w:id="5">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Sergiu Borsa, “</w:t>
      </w:r>
      <w:r>
        <w:rPr>
          <w:rFonts w:cs="Calibri"/>
          <w:i/>
          <w:iCs/>
          <w:sz w:val="20"/>
          <w:szCs w:val="20"/>
        </w:rPr>
        <w:t>Securitatea si noua ordine sociala</w:t>
      </w:r>
      <w:r>
        <w:rPr>
          <w:rFonts w:cs="Calibri"/>
          <w:sz w:val="20"/>
          <w:szCs w:val="20"/>
        </w:rPr>
        <w:t xml:space="preserve">”,  in Revista </w:t>
      </w:r>
      <w:r>
        <w:rPr>
          <w:rFonts w:cs="Calibri"/>
          <w:i/>
          <w:iCs/>
          <w:sz w:val="20"/>
          <w:szCs w:val="20"/>
        </w:rPr>
        <w:t xml:space="preserve">Intelligence, </w:t>
      </w:r>
      <w:r>
        <w:rPr>
          <w:rFonts w:cs="Calibri"/>
          <w:sz w:val="20"/>
          <w:szCs w:val="20"/>
        </w:rPr>
        <w:t>nr. 21, martie - mai 2012, p. 130</w:t>
      </w:r>
    </w:p>
  </w:footnote>
  <w:footnote w:id="6">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A se vedea În 2003, apare prima Strategie Europeană de Securitate iar în 2008 cunoaște primele îmbunătățiri; Conceptul Strategic NATO din 1967 a rămas neschimbat 24 de ani, dar după încheierea Războiului Rece a fost revizuit de mai multe ori, în 1991, 1999 și 2010. Vezi și, </w:t>
      </w:r>
      <w:r>
        <w:rPr>
          <w:rFonts w:cs="Calibri"/>
          <w:i/>
          <w:iCs/>
          <w:sz w:val="20"/>
          <w:szCs w:val="20"/>
        </w:rPr>
        <w:t xml:space="preserve">NATO 2020: Assured Security; Dynamic Engagement </w:t>
      </w:r>
      <w:r>
        <w:rPr>
          <w:rFonts w:cs="Calibri"/>
          <w:sz w:val="20"/>
          <w:szCs w:val="20"/>
        </w:rPr>
        <w:t xml:space="preserve">și forma revizuită, după discuții și cu parteneri non NATO </w:t>
      </w:r>
      <w:r>
        <w:rPr>
          <w:rFonts w:cs="Calibri"/>
          <w:i/>
          <w:iCs/>
          <w:sz w:val="20"/>
          <w:szCs w:val="20"/>
        </w:rPr>
        <w:t xml:space="preserve">A Secure Europe in a Better World </w:t>
      </w:r>
      <w:r>
        <w:rPr>
          <w:rFonts w:cs="Calibri"/>
          <w:sz w:val="20"/>
          <w:szCs w:val="20"/>
        </w:rPr>
        <w:t xml:space="preserve"> </w:t>
      </w:r>
    </w:p>
  </w:footnote>
  <w:footnote w:id="7">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Visarion Neagoe si Ina Raluxa Tomescu, “</w:t>
      </w:r>
      <w:r>
        <w:rPr>
          <w:rFonts w:cs="Calibri"/>
          <w:i/>
          <w:iCs/>
          <w:sz w:val="20"/>
          <w:szCs w:val="20"/>
        </w:rPr>
        <w:t>Geopilitica si strategii de securitate</w:t>
      </w:r>
      <w:r>
        <w:rPr>
          <w:rFonts w:cs="Calibri"/>
          <w:sz w:val="20"/>
          <w:szCs w:val="20"/>
        </w:rPr>
        <w:t>”, Ed. Universitatii Nationale de Aparare, Bucuresti, 2005, p.100</w:t>
      </w:r>
    </w:p>
  </w:footnote>
  <w:footnote w:id="8">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Visarion Neagoe si Ina Raluxa Tomescu, “</w:t>
      </w:r>
      <w:r>
        <w:rPr>
          <w:rFonts w:cs="Calibri"/>
          <w:i/>
          <w:iCs/>
          <w:sz w:val="20"/>
          <w:szCs w:val="20"/>
        </w:rPr>
        <w:t>Geopilitica si strategii de securitate</w:t>
      </w:r>
      <w:r>
        <w:rPr>
          <w:rFonts w:cs="Calibri"/>
          <w:sz w:val="20"/>
          <w:szCs w:val="20"/>
        </w:rPr>
        <w:t>”, Ed. Universitatii Nationale de Aparare, Bucuresti, 2005, pp.101-102</w:t>
      </w:r>
    </w:p>
  </w:footnote>
  <w:footnote w:id="9">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Mircea Malita, “</w:t>
      </w:r>
      <w:r>
        <w:rPr>
          <w:rFonts w:cs="Calibri"/>
          <w:i/>
          <w:iCs/>
          <w:sz w:val="20"/>
          <w:szCs w:val="20"/>
        </w:rPr>
        <w:t>Diplomatia</w:t>
      </w:r>
      <w:r>
        <w:rPr>
          <w:rFonts w:cs="Calibri"/>
          <w:sz w:val="20"/>
          <w:szCs w:val="20"/>
        </w:rPr>
        <w:t>”, Ed. Didactica si Pedagogica, Bucuresti, 1975, pp. 325- 326</w:t>
      </w:r>
    </w:p>
  </w:footnote>
  <w:footnote w:id="10">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w:t>
      </w:r>
      <w:r>
        <w:rPr>
          <w:rFonts w:cs="Calibri"/>
          <w:i/>
          <w:iCs/>
          <w:sz w:val="20"/>
          <w:szCs w:val="20"/>
        </w:rPr>
        <w:t>Ibidem</w:t>
      </w:r>
      <w:r>
        <w:rPr>
          <w:rFonts w:cs="Calibri"/>
          <w:sz w:val="20"/>
          <w:szCs w:val="20"/>
        </w:rPr>
        <w:t>, p. 326</w:t>
      </w:r>
    </w:p>
  </w:footnote>
  <w:footnote w:id="11">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Joshua Goldstein si Jon Pevehouse, “</w:t>
      </w:r>
      <w:r>
        <w:rPr>
          <w:rFonts w:cs="Calibri"/>
          <w:i/>
          <w:iCs/>
          <w:sz w:val="20"/>
          <w:szCs w:val="20"/>
        </w:rPr>
        <w:t>Relatii Internationale</w:t>
      </w:r>
      <w:r>
        <w:rPr>
          <w:rFonts w:cs="Calibri"/>
          <w:sz w:val="20"/>
          <w:szCs w:val="20"/>
        </w:rPr>
        <w:t>”, Ed. Polirom, 2008, Bucuresti, p. 341</w:t>
      </w:r>
    </w:p>
  </w:footnote>
  <w:footnote w:id="12">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Obligatii precum respectarea privilegiilor diplomatice, obtinerea de la comiterea de agresiuni si respectarea conditiilor tratatelor pe care le semneaza.</w:t>
      </w:r>
    </w:p>
  </w:footnote>
  <w:footnote w:id="13">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Joshua Goldstein si Jon Pevehouse,</w:t>
      </w:r>
      <w:r>
        <w:rPr>
          <w:rFonts w:cs="Calibri"/>
          <w:i/>
          <w:iCs/>
          <w:sz w:val="20"/>
          <w:szCs w:val="20"/>
        </w:rPr>
        <w:t xml:space="preserve"> Idem</w:t>
      </w:r>
      <w:r>
        <w:rPr>
          <w:rFonts w:cs="Calibri"/>
          <w:sz w:val="20"/>
          <w:szCs w:val="20"/>
        </w:rPr>
        <w:t>, pp. 341- 342</w:t>
      </w:r>
    </w:p>
  </w:footnote>
  <w:footnote w:id="14">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A se vedea </w:t>
      </w:r>
      <w:r>
        <w:rPr>
          <w:rFonts w:cs="Calibri"/>
          <w:color w:val="0000FF"/>
          <w:sz w:val="20"/>
          <w:szCs w:val="20"/>
          <w:u w:val="single"/>
        </w:rPr>
        <w:t>http://www.nato.int/nato_static/assets/pdf/pdf_publications/20120412_ShortHistory_en.pdf</w:t>
      </w:r>
      <w:r>
        <w:rPr>
          <w:rFonts w:cs="Calibri"/>
          <w:sz w:val="20"/>
          <w:szCs w:val="20"/>
        </w:rPr>
        <w:t>, p.1</w:t>
      </w:r>
    </w:p>
  </w:footnote>
  <w:footnote w:id="15">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Visarion Neagoe si Ina Raluxa Tomescu, “</w:t>
      </w:r>
      <w:r>
        <w:rPr>
          <w:rFonts w:cs="Calibri"/>
          <w:i/>
          <w:iCs/>
          <w:sz w:val="20"/>
          <w:szCs w:val="20"/>
        </w:rPr>
        <w:t>Geopilitica si strategii de securitate</w:t>
      </w:r>
      <w:r>
        <w:rPr>
          <w:rFonts w:cs="Calibri"/>
          <w:sz w:val="20"/>
          <w:szCs w:val="20"/>
        </w:rPr>
        <w:t>”, Ed. Universitatii Nationale de Aparare, Bucuresti, 2005, p. 243</w:t>
      </w:r>
    </w:p>
  </w:footnote>
  <w:footnote w:id="16">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Belgia, Olanda, Luxemburg, RF Germania, Franta si Italia</w:t>
      </w:r>
    </w:p>
  </w:footnote>
  <w:footnote w:id="17">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Visarion Neagoe si Ina Raluca Tomescu, “</w:t>
      </w:r>
      <w:r>
        <w:rPr>
          <w:rFonts w:cs="Calibri"/>
          <w:i/>
          <w:iCs/>
          <w:sz w:val="20"/>
          <w:szCs w:val="20"/>
        </w:rPr>
        <w:t>Geopilitica si strategii de securitate</w:t>
      </w:r>
      <w:r>
        <w:rPr>
          <w:rFonts w:cs="Calibri"/>
          <w:sz w:val="20"/>
          <w:szCs w:val="20"/>
        </w:rPr>
        <w:t>”, Ed. Universitatii Nationale de Aparare, Bucuresti, 2005, p. 262</w:t>
      </w:r>
    </w:p>
  </w:footnote>
  <w:footnote w:id="18">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Joshua Goldstein si Jon Pevehouse,</w:t>
      </w:r>
      <w:r>
        <w:rPr>
          <w:rFonts w:cs="Calibri"/>
          <w:i/>
          <w:iCs/>
          <w:sz w:val="20"/>
          <w:szCs w:val="20"/>
        </w:rPr>
        <w:t xml:space="preserve"> Idem</w:t>
      </w:r>
      <w:r>
        <w:rPr>
          <w:rFonts w:cs="Calibri"/>
          <w:sz w:val="20"/>
          <w:szCs w:val="20"/>
        </w:rPr>
        <w:t>, p. 506</w:t>
      </w:r>
    </w:p>
  </w:footnote>
  <w:footnote w:id="19">
    <w:p w:rsidR="00852CE2" w:rsidRPr="00852CE2" w:rsidRDefault="00852CE2" w:rsidP="00852CE2">
      <w:pPr>
        <w:autoSpaceDE w:val="0"/>
        <w:autoSpaceDN w:val="0"/>
        <w:adjustRightInd w:val="0"/>
        <w:spacing w:after="0" w:line="240" w:lineRule="auto"/>
        <w:rPr>
          <w:rFonts w:cs="Calibri"/>
          <w:sz w:val="20"/>
          <w:szCs w:val="20"/>
          <w:lang w:val="ro-RO"/>
        </w:rPr>
      </w:pPr>
      <w:r>
        <w:rPr>
          <w:rFonts w:cs="Calibri"/>
          <w:sz w:val="20"/>
          <w:szCs w:val="20"/>
          <w:vertAlign w:val="superscript"/>
        </w:rPr>
        <w:footnoteRef/>
      </w:r>
      <w:r>
        <w:rPr>
          <w:rFonts w:cs="Calibri"/>
          <w:sz w:val="20"/>
          <w:szCs w:val="20"/>
        </w:rPr>
        <w:t xml:space="preserve"> Prin care se dorea ca monedele na</w:t>
      </w:r>
      <w:r>
        <w:rPr>
          <w:rFonts w:cs="Calibri"/>
          <w:sz w:val="20"/>
          <w:szCs w:val="20"/>
          <w:lang w:val="ro-RO"/>
        </w:rPr>
        <w:t>ț</w:t>
      </w:r>
      <w:r>
        <w:rPr>
          <w:rFonts w:cs="Calibri"/>
          <w:sz w:val="20"/>
          <w:szCs w:val="20"/>
        </w:rPr>
        <w:t>ionale existente s</w:t>
      </w:r>
      <w:r>
        <w:rPr>
          <w:rFonts w:cs="Calibri"/>
          <w:sz w:val="20"/>
          <w:szCs w:val="20"/>
          <w:lang w:val="ro-RO"/>
        </w:rPr>
        <w:t>ă</w:t>
      </w:r>
      <w:r>
        <w:rPr>
          <w:rFonts w:cs="Calibri"/>
          <w:sz w:val="20"/>
          <w:szCs w:val="20"/>
        </w:rPr>
        <w:t xml:space="preserve"> fie desfiin</w:t>
      </w:r>
      <w:r>
        <w:rPr>
          <w:rFonts w:cs="Calibri"/>
          <w:sz w:val="20"/>
          <w:szCs w:val="20"/>
          <w:lang w:val="ro-RO"/>
        </w:rPr>
        <w:t>ț</w:t>
      </w:r>
      <w:r>
        <w:rPr>
          <w:rFonts w:cs="Calibri"/>
          <w:sz w:val="20"/>
          <w:szCs w:val="20"/>
        </w:rPr>
        <w:t xml:space="preserve">ate </w:t>
      </w:r>
      <w:r>
        <w:rPr>
          <w:rFonts w:cs="Calibri"/>
          <w:sz w:val="20"/>
          <w:szCs w:val="20"/>
          <w:lang w:val="ro-RO"/>
        </w:rPr>
        <w:t>ș</w:t>
      </w:r>
      <w:r>
        <w:rPr>
          <w:rFonts w:cs="Calibri"/>
          <w:sz w:val="20"/>
          <w:szCs w:val="20"/>
        </w:rPr>
        <w:t>i</w:t>
      </w:r>
      <w:r>
        <w:rPr>
          <w:rFonts w:cs="Calibri"/>
          <w:sz w:val="20"/>
          <w:szCs w:val="20"/>
          <w:lang w:val="ro-RO"/>
        </w:rPr>
        <w:t xml:space="preserve"> </w:t>
      </w:r>
      <w:r>
        <w:rPr>
          <w:rFonts w:cs="Calibri"/>
          <w:sz w:val="20"/>
          <w:szCs w:val="20"/>
        </w:rPr>
        <w:t>s</w:t>
      </w:r>
      <w:r>
        <w:rPr>
          <w:rFonts w:cs="Calibri"/>
          <w:sz w:val="20"/>
          <w:szCs w:val="20"/>
          <w:lang w:val="ro-RO"/>
        </w:rPr>
        <w:t>ă</w:t>
      </w:r>
      <w:r>
        <w:rPr>
          <w:rFonts w:cs="Calibri"/>
          <w:sz w:val="20"/>
          <w:szCs w:val="20"/>
        </w:rPr>
        <w:t xml:space="preserve"> fie </w:t>
      </w:r>
      <w:r>
        <w:rPr>
          <w:rFonts w:cs="Calibri"/>
          <w:sz w:val="20"/>
          <w:szCs w:val="20"/>
          <w:lang w:val="ro-RO"/>
        </w:rPr>
        <w:t>î</w:t>
      </w:r>
      <w:r>
        <w:rPr>
          <w:rFonts w:cs="Calibri"/>
          <w:sz w:val="20"/>
          <w:szCs w:val="20"/>
        </w:rPr>
        <w:t>nlocuite de o singu</w:t>
      </w:r>
      <w:r>
        <w:rPr>
          <w:rFonts w:cs="Calibri"/>
          <w:sz w:val="20"/>
          <w:szCs w:val="20"/>
          <w:lang w:val="ro-RO"/>
        </w:rPr>
        <w:t>ră</w:t>
      </w:r>
      <w:r>
        <w:rPr>
          <w:rFonts w:cs="Calibri"/>
          <w:sz w:val="20"/>
          <w:szCs w:val="20"/>
        </w:rPr>
        <w:t xml:space="preserve"> moned</w:t>
      </w:r>
      <w:r>
        <w:rPr>
          <w:rFonts w:cs="Calibri"/>
          <w:sz w:val="20"/>
          <w:szCs w:val="20"/>
          <w:lang w:val="ro-RO"/>
        </w:rPr>
        <w:t>ă</w:t>
      </w:r>
      <w:r>
        <w:rPr>
          <w:rFonts w:cs="Calibri"/>
          <w:sz w:val="20"/>
          <w:szCs w:val="20"/>
        </w:rPr>
        <w:t xml:space="preserve"> european</w:t>
      </w:r>
      <w:r>
        <w:rPr>
          <w:rFonts w:cs="Calibri"/>
          <w:sz w:val="20"/>
          <w:szCs w:val="20"/>
          <w:lang w:val="ro-RO"/>
        </w:rPr>
        <w:t>ă</w:t>
      </w:r>
      <w:r>
        <w:rPr>
          <w:rFonts w:cs="Calibri"/>
          <w:sz w:val="20"/>
          <w:szCs w:val="20"/>
        </w:rPr>
        <w:t>.</w:t>
      </w:r>
    </w:p>
  </w:footnote>
  <w:footnote w:id="20">
    <w:p w:rsidR="00852CE2" w:rsidRPr="00852CE2" w:rsidRDefault="00852CE2" w:rsidP="00852CE2">
      <w:pPr>
        <w:autoSpaceDE w:val="0"/>
        <w:autoSpaceDN w:val="0"/>
        <w:adjustRightInd w:val="0"/>
        <w:spacing w:after="0" w:line="240" w:lineRule="auto"/>
        <w:rPr>
          <w:rFonts w:cs="Calibri"/>
          <w:sz w:val="20"/>
          <w:szCs w:val="20"/>
          <w:lang w:val="ro-RO"/>
        </w:rPr>
      </w:pPr>
      <w:r>
        <w:rPr>
          <w:rFonts w:cs="Calibri"/>
          <w:sz w:val="20"/>
          <w:szCs w:val="20"/>
          <w:vertAlign w:val="superscript"/>
        </w:rPr>
        <w:footnoteRef/>
      </w:r>
      <w:r>
        <w:rPr>
          <w:rFonts w:cs="Calibri"/>
          <w:sz w:val="20"/>
          <w:szCs w:val="20"/>
        </w:rPr>
        <w:t xml:space="preserve"> Pentru a r</w:t>
      </w:r>
      <w:r>
        <w:rPr>
          <w:rFonts w:cs="Calibri"/>
          <w:sz w:val="20"/>
          <w:szCs w:val="20"/>
          <w:lang w:val="ro-RO"/>
        </w:rPr>
        <w:t>ă</w:t>
      </w:r>
      <w:r>
        <w:rPr>
          <w:rFonts w:cs="Calibri"/>
          <w:sz w:val="20"/>
          <w:szCs w:val="20"/>
        </w:rPr>
        <w:t>spunde la noi realit</w:t>
      </w:r>
      <w:r>
        <w:rPr>
          <w:rFonts w:cs="Calibri"/>
          <w:sz w:val="20"/>
          <w:szCs w:val="20"/>
          <w:lang w:val="ro-RO"/>
        </w:rPr>
        <w:t>ăț</w:t>
      </w:r>
      <w:r>
        <w:rPr>
          <w:rFonts w:cs="Calibri"/>
          <w:sz w:val="20"/>
          <w:szCs w:val="20"/>
        </w:rPr>
        <w:t>i create prin deschiderea grani</w:t>
      </w:r>
      <w:r>
        <w:rPr>
          <w:rFonts w:cs="Calibri"/>
          <w:sz w:val="20"/>
          <w:szCs w:val="20"/>
          <w:lang w:val="ro-RO"/>
        </w:rPr>
        <w:t>ț</w:t>
      </w:r>
      <w:r>
        <w:rPr>
          <w:rFonts w:cs="Calibri"/>
          <w:sz w:val="20"/>
          <w:szCs w:val="20"/>
        </w:rPr>
        <w:t xml:space="preserve">elor, </w:t>
      </w:r>
      <w:r>
        <w:rPr>
          <w:rFonts w:cs="Calibri"/>
          <w:sz w:val="20"/>
          <w:szCs w:val="20"/>
          <w:lang w:val="ro-RO"/>
        </w:rPr>
        <w:t>î</w:t>
      </w:r>
      <w:r>
        <w:rPr>
          <w:rFonts w:cs="Calibri"/>
          <w:sz w:val="20"/>
          <w:szCs w:val="20"/>
        </w:rPr>
        <w:t>n fa</w:t>
      </w:r>
      <w:r>
        <w:rPr>
          <w:rFonts w:cs="Calibri"/>
          <w:sz w:val="20"/>
          <w:szCs w:val="20"/>
          <w:lang w:val="ro-RO"/>
        </w:rPr>
        <w:t>ț</w:t>
      </w:r>
      <w:r>
        <w:rPr>
          <w:rFonts w:cs="Calibri"/>
          <w:sz w:val="20"/>
          <w:szCs w:val="20"/>
        </w:rPr>
        <w:t>a imigran</w:t>
      </w:r>
      <w:r>
        <w:rPr>
          <w:rFonts w:cs="Calibri"/>
          <w:sz w:val="20"/>
          <w:szCs w:val="20"/>
          <w:lang w:val="ro-RO"/>
        </w:rPr>
        <w:t>ț</w:t>
      </w:r>
      <w:r>
        <w:rPr>
          <w:rFonts w:cs="Calibri"/>
          <w:sz w:val="20"/>
          <w:szCs w:val="20"/>
        </w:rPr>
        <w:t>ilor, criminalilor, trafican</w:t>
      </w:r>
      <w:r>
        <w:rPr>
          <w:rFonts w:cs="Calibri"/>
          <w:sz w:val="20"/>
          <w:szCs w:val="20"/>
          <w:lang w:val="ro-RO"/>
        </w:rPr>
        <w:t>ț</w:t>
      </w:r>
      <w:r>
        <w:rPr>
          <w:rFonts w:cs="Calibri"/>
          <w:sz w:val="20"/>
          <w:szCs w:val="20"/>
        </w:rPr>
        <w:t>ilor de  carne vie, sau contrabandi</w:t>
      </w:r>
      <w:r>
        <w:rPr>
          <w:rFonts w:cs="Calibri"/>
          <w:sz w:val="20"/>
          <w:szCs w:val="20"/>
          <w:lang w:val="ro-RO"/>
        </w:rPr>
        <w:t>ș</w:t>
      </w:r>
      <w:r>
        <w:rPr>
          <w:rFonts w:cs="Calibri"/>
          <w:sz w:val="20"/>
          <w:szCs w:val="20"/>
        </w:rPr>
        <w:t>tilor.</w:t>
      </w:r>
    </w:p>
  </w:footnote>
  <w:footnote w:id="21">
    <w:p w:rsidR="00852CE2" w:rsidRDefault="00852CE2" w:rsidP="00852CE2">
      <w:pPr>
        <w:autoSpaceDE w:val="0"/>
        <w:autoSpaceDN w:val="0"/>
        <w:adjustRightInd w:val="0"/>
        <w:spacing w:after="0" w:line="240" w:lineRule="auto"/>
        <w:rPr>
          <w:rFonts w:cs="Calibri"/>
          <w:sz w:val="20"/>
          <w:szCs w:val="20"/>
        </w:rPr>
      </w:pPr>
      <w:r>
        <w:rPr>
          <w:rFonts w:cs="Calibri"/>
          <w:sz w:val="20"/>
          <w:szCs w:val="20"/>
          <w:vertAlign w:val="superscript"/>
        </w:rPr>
        <w:footnoteRef/>
      </w:r>
      <w:r>
        <w:rPr>
          <w:rFonts w:cs="Calibri"/>
          <w:sz w:val="20"/>
          <w:szCs w:val="20"/>
        </w:rPr>
        <w:t xml:space="preserve"> Scopul era acela ca statele s</w:t>
      </w:r>
      <w:r>
        <w:rPr>
          <w:rFonts w:cs="Calibri"/>
          <w:sz w:val="20"/>
          <w:szCs w:val="20"/>
          <w:lang w:val="ro-RO"/>
        </w:rPr>
        <w:t>ă</w:t>
      </w:r>
      <w:r>
        <w:rPr>
          <w:rFonts w:cs="Calibri"/>
          <w:sz w:val="20"/>
          <w:szCs w:val="20"/>
        </w:rPr>
        <w:t xml:space="preserve"> lucreze </w:t>
      </w:r>
      <w:r>
        <w:rPr>
          <w:rFonts w:cs="Calibri"/>
          <w:sz w:val="20"/>
          <w:szCs w:val="20"/>
          <w:lang w:val="ro-RO"/>
        </w:rPr>
        <w:t>î</w:t>
      </w:r>
      <w:r>
        <w:rPr>
          <w:rFonts w:cs="Calibri"/>
          <w:sz w:val="20"/>
          <w:szCs w:val="20"/>
        </w:rPr>
        <w:t>mpreun</w:t>
      </w:r>
      <w:r>
        <w:rPr>
          <w:rFonts w:cs="Calibri"/>
          <w:sz w:val="20"/>
          <w:szCs w:val="20"/>
          <w:lang w:val="ro-RO"/>
        </w:rPr>
        <w:t>ă</w:t>
      </w:r>
      <w:r>
        <w:rPr>
          <w:rFonts w:cs="Calibri"/>
          <w:sz w:val="20"/>
          <w:szCs w:val="20"/>
        </w:rPr>
        <w:t xml:space="preserve"> pentru o politic</w:t>
      </w:r>
      <w:r>
        <w:rPr>
          <w:rFonts w:cs="Calibri"/>
          <w:sz w:val="20"/>
          <w:szCs w:val="20"/>
          <w:lang w:val="ro-RO"/>
        </w:rPr>
        <w:t>ă</w:t>
      </w:r>
      <w:r>
        <w:rPr>
          <w:rFonts w:cs="Calibri"/>
          <w:sz w:val="20"/>
          <w:szCs w:val="20"/>
        </w:rPr>
        <w:t xml:space="preserve"> extern</w:t>
      </w:r>
      <w:r>
        <w:rPr>
          <w:rFonts w:cs="Calibri"/>
          <w:sz w:val="20"/>
          <w:szCs w:val="20"/>
          <w:lang w:val="ro-RO"/>
        </w:rPr>
        <w:t>ă</w:t>
      </w:r>
      <w:r>
        <w:rPr>
          <w:rFonts w:cs="Calibri"/>
          <w:sz w:val="20"/>
          <w:szCs w:val="20"/>
        </w:rPr>
        <w:t xml:space="preserve"> comun</w:t>
      </w:r>
      <w:r>
        <w:rPr>
          <w:rFonts w:cs="Calibri"/>
          <w:sz w:val="20"/>
          <w:szCs w:val="20"/>
          <w:lang w:val="ro-RO"/>
        </w:rPr>
        <w:t>ă</w:t>
      </w:r>
      <w:r>
        <w:rPr>
          <w:rFonts w:cs="Calibri"/>
          <w:sz w:val="20"/>
          <w:szCs w:val="20"/>
        </w:rPr>
        <w:t xml:space="preserve"> </w:t>
      </w:r>
      <w:r>
        <w:rPr>
          <w:rFonts w:cs="Calibri"/>
          <w:sz w:val="20"/>
          <w:szCs w:val="20"/>
          <w:lang w:val="ro-RO"/>
        </w:rPr>
        <w:t>ș</w:t>
      </w:r>
      <w:r>
        <w:rPr>
          <w:rFonts w:cs="Calibri"/>
          <w:sz w:val="20"/>
          <w:szCs w:val="20"/>
        </w:rPr>
        <w:t xml:space="preserve">i </w:t>
      </w:r>
      <w:r>
        <w:rPr>
          <w:rFonts w:cs="Calibri"/>
          <w:sz w:val="20"/>
          <w:szCs w:val="20"/>
          <w:lang w:val="ro-RO"/>
        </w:rPr>
        <w:t>î</w:t>
      </w:r>
      <w:r>
        <w:rPr>
          <w:rFonts w:cs="Calibri"/>
          <w:sz w:val="20"/>
          <w:szCs w:val="20"/>
        </w:rPr>
        <w:t>nfiin</w:t>
      </w:r>
      <w:r>
        <w:rPr>
          <w:rFonts w:cs="Calibri"/>
          <w:sz w:val="20"/>
          <w:szCs w:val="20"/>
          <w:lang w:val="ro-RO"/>
        </w:rPr>
        <w:t>ț</w:t>
      </w:r>
      <w:r>
        <w:rPr>
          <w:rFonts w:cs="Calibri"/>
          <w:sz w:val="20"/>
          <w:szCs w:val="20"/>
        </w:rPr>
        <w:t>area unei for</w:t>
      </w:r>
      <w:r>
        <w:rPr>
          <w:rFonts w:cs="Calibri"/>
          <w:sz w:val="20"/>
          <w:szCs w:val="20"/>
          <w:lang w:val="ro-RO"/>
        </w:rPr>
        <w:t>ț</w:t>
      </w:r>
      <w:r>
        <w:rPr>
          <w:rFonts w:cs="Calibri"/>
          <w:sz w:val="20"/>
          <w:szCs w:val="20"/>
        </w:rPr>
        <w:t>e militare comune.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E3A"/>
    <w:multiLevelType w:val="hybridMultilevel"/>
    <w:tmpl w:val="CDCCAB6C"/>
    <w:lvl w:ilvl="0" w:tplc="36142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4EE89"/>
    <w:multiLevelType w:val="multilevel"/>
    <w:tmpl w:val="06CBC01B"/>
    <w:lvl w:ilvl="0">
      <w:numFmt w:val="bullet"/>
      <w:lvlText w:val="-"/>
      <w:lvlJc w:val="left"/>
      <w:pPr>
        <w:tabs>
          <w:tab w:val="num" w:pos="1080"/>
        </w:tabs>
        <w:ind w:left="1080" w:hanging="360"/>
      </w:pPr>
      <w:rPr>
        <w:rFonts w:ascii="Times New Roman" w:hAnsi="Times New Roman" w:cs="Times New Roman"/>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 w15:restartNumberingAfterBreak="0">
    <w:nsid w:val="1B0CCBFB"/>
    <w:multiLevelType w:val="multilevel"/>
    <w:tmpl w:val="3138E465"/>
    <w:lvl w:ilvl="0">
      <w:start w:val="1"/>
      <w:numFmt w:val="upperRoman"/>
      <w:lvlText w:val="%1."/>
      <w:lvlJc w:val="left"/>
      <w:pPr>
        <w:tabs>
          <w:tab w:val="num" w:pos="1080"/>
        </w:tabs>
        <w:ind w:left="1080" w:hanging="720"/>
      </w:pPr>
      <w:rPr>
        <w:rFonts w:ascii="Times New Roman" w:hAnsi="Times New Roman" w:cs="Times New Roman"/>
        <w:sz w:val="32"/>
        <w:szCs w:val="3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22541D0C"/>
    <w:multiLevelType w:val="hybridMultilevel"/>
    <w:tmpl w:val="F56E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7265E"/>
    <w:multiLevelType w:val="multilevel"/>
    <w:tmpl w:val="5DE96945"/>
    <w:lvl w:ilvl="0">
      <w:start w:val="1"/>
      <w:numFmt w:val="upperRoman"/>
      <w:lvlText w:val="%1."/>
      <w:lvlJc w:val="left"/>
      <w:pPr>
        <w:tabs>
          <w:tab w:val="num" w:pos="1080"/>
        </w:tabs>
        <w:ind w:left="1080" w:hanging="720"/>
      </w:pPr>
      <w:rPr>
        <w:rFonts w:ascii="Times New Roman" w:hAnsi="Times New Roman" w:cs="Times New Roman"/>
        <w:sz w:val="32"/>
        <w:szCs w:val="3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30655E34"/>
    <w:multiLevelType w:val="hybridMultilevel"/>
    <w:tmpl w:val="704EE70C"/>
    <w:lvl w:ilvl="0" w:tplc="36142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24816"/>
    <w:multiLevelType w:val="multilevel"/>
    <w:tmpl w:val="1013FE04"/>
    <w:lvl w:ilvl="0">
      <w:start w:val="1"/>
      <w:numFmt w:val="decimal"/>
      <w:lvlText w:val="%1."/>
      <w:lvlJc w:val="left"/>
      <w:pPr>
        <w:tabs>
          <w:tab w:val="num" w:pos="360"/>
        </w:tabs>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4CBF7F79"/>
    <w:multiLevelType w:val="hybridMultilevel"/>
    <w:tmpl w:val="4D5A0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54CAF"/>
    <w:multiLevelType w:val="hybridMultilevel"/>
    <w:tmpl w:val="067AE3EE"/>
    <w:lvl w:ilvl="0" w:tplc="3FFE44E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8F8D9E"/>
    <w:multiLevelType w:val="multilevel"/>
    <w:tmpl w:val="604DEBEB"/>
    <w:lvl w:ilvl="0">
      <w:numFmt w:val="bullet"/>
      <w:lvlText w:val="-"/>
      <w:lvlJc w:val="left"/>
      <w:pPr>
        <w:tabs>
          <w:tab w:val="num" w:pos="1080"/>
        </w:tabs>
        <w:ind w:left="1080" w:hanging="360"/>
      </w:pPr>
      <w:rPr>
        <w:rFonts w:ascii="Times New Roman" w:hAnsi="Times New Roman" w:cs="Times New Roman"/>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0" w15:restartNumberingAfterBreak="0">
    <w:nsid w:val="63C5434A"/>
    <w:multiLevelType w:val="hybridMultilevel"/>
    <w:tmpl w:val="4252A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13E441"/>
    <w:multiLevelType w:val="multilevel"/>
    <w:tmpl w:val="276F4473"/>
    <w:lvl w:ilvl="0">
      <w:start w:val="1"/>
      <w:numFmt w:val="decimal"/>
      <w:lvlText w:val="%1."/>
      <w:lvlJc w:val="left"/>
      <w:pPr>
        <w:tabs>
          <w:tab w:val="num" w:pos="360"/>
        </w:tabs>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6FA611FF"/>
    <w:multiLevelType w:val="hybridMultilevel"/>
    <w:tmpl w:val="7550F444"/>
    <w:lvl w:ilvl="0" w:tplc="63C61846">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5BCF814"/>
    <w:multiLevelType w:val="multilevel"/>
    <w:tmpl w:val="269B70D0"/>
    <w:lvl w:ilvl="0">
      <w:numFmt w:val="bullet"/>
      <w:lvlText w:val="-"/>
      <w:lvlJc w:val="left"/>
      <w:pPr>
        <w:tabs>
          <w:tab w:val="num" w:pos="1080"/>
        </w:tabs>
        <w:ind w:left="1080" w:hanging="360"/>
      </w:pPr>
      <w:rPr>
        <w:rFonts w:ascii="Times New Roman" w:hAnsi="Times New Roman" w:cs="Times New Roman"/>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4" w15:restartNumberingAfterBreak="0">
    <w:nsid w:val="7959AAF5"/>
    <w:multiLevelType w:val="multilevel"/>
    <w:tmpl w:val="4CE956FD"/>
    <w:lvl w:ilvl="0">
      <w:start w:val="1"/>
      <w:numFmt w:val="upperRoman"/>
      <w:lvlText w:val="%1."/>
      <w:lvlJc w:val="left"/>
      <w:pPr>
        <w:tabs>
          <w:tab w:val="num" w:pos="1080"/>
        </w:tabs>
        <w:ind w:left="1080" w:hanging="720"/>
      </w:pPr>
      <w:rPr>
        <w:rFonts w:ascii="Times New Roman" w:hAnsi="Times New Roman" w:cs="Times New Roman"/>
        <w:sz w:val="32"/>
        <w:szCs w:val="3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12"/>
  </w:num>
  <w:num w:numId="2">
    <w:abstractNumId w:val="8"/>
  </w:num>
  <w:num w:numId="3">
    <w:abstractNumId w:val="7"/>
  </w:num>
  <w:num w:numId="4">
    <w:abstractNumId w:val="10"/>
  </w:num>
  <w:num w:numId="5">
    <w:abstractNumId w:val="3"/>
  </w:num>
  <w:num w:numId="6">
    <w:abstractNumId w:val="0"/>
  </w:num>
  <w:num w:numId="7">
    <w:abstractNumId w:val="4"/>
  </w:num>
  <w:num w:numId="8">
    <w:abstractNumId w:val="14"/>
  </w:num>
  <w:num w:numId="9">
    <w:abstractNumId w:val="13"/>
  </w:num>
  <w:num w:numId="10">
    <w:abstractNumId w:val="2"/>
  </w:num>
  <w:num w:numId="11">
    <w:abstractNumId w:val="9"/>
  </w:num>
  <w:num w:numId="12">
    <w:abstractNumId w:val="1"/>
  </w:num>
  <w:num w:numId="13">
    <w:abstractNumId w:val="6"/>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8B"/>
    <w:rsid w:val="000703D0"/>
    <w:rsid w:val="000B15FA"/>
    <w:rsid w:val="000E73A5"/>
    <w:rsid w:val="00136839"/>
    <w:rsid w:val="001D6A40"/>
    <w:rsid w:val="001E1556"/>
    <w:rsid w:val="001E537A"/>
    <w:rsid w:val="00234BD4"/>
    <w:rsid w:val="002444CC"/>
    <w:rsid w:val="00275311"/>
    <w:rsid w:val="0028187D"/>
    <w:rsid w:val="002D1451"/>
    <w:rsid w:val="002F0BE5"/>
    <w:rsid w:val="0031239D"/>
    <w:rsid w:val="00347D2F"/>
    <w:rsid w:val="00371A44"/>
    <w:rsid w:val="003D23BF"/>
    <w:rsid w:val="004E32FB"/>
    <w:rsid w:val="00541B27"/>
    <w:rsid w:val="00573B39"/>
    <w:rsid w:val="005C09B9"/>
    <w:rsid w:val="006277A2"/>
    <w:rsid w:val="006372B0"/>
    <w:rsid w:val="00670B2B"/>
    <w:rsid w:val="00722CE2"/>
    <w:rsid w:val="0076070E"/>
    <w:rsid w:val="00760990"/>
    <w:rsid w:val="00795029"/>
    <w:rsid w:val="007A6DF9"/>
    <w:rsid w:val="007B74D7"/>
    <w:rsid w:val="007C1AD1"/>
    <w:rsid w:val="00826D66"/>
    <w:rsid w:val="00852CE2"/>
    <w:rsid w:val="00903643"/>
    <w:rsid w:val="009117DE"/>
    <w:rsid w:val="00951045"/>
    <w:rsid w:val="009F3F5B"/>
    <w:rsid w:val="009F40BA"/>
    <w:rsid w:val="00A00ADB"/>
    <w:rsid w:val="00A160B9"/>
    <w:rsid w:val="00AA22B0"/>
    <w:rsid w:val="00AE2199"/>
    <w:rsid w:val="00AF3A6F"/>
    <w:rsid w:val="00B11630"/>
    <w:rsid w:val="00B75748"/>
    <w:rsid w:val="00C40C8B"/>
    <w:rsid w:val="00CA7190"/>
    <w:rsid w:val="00D107C0"/>
    <w:rsid w:val="00D16705"/>
    <w:rsid w:val="00D24E0B"/>
    <w:rsid w:val="00D61E8C"/>
    <w:rsid w:val="00DA0D31"/>
    <w:rsid w:val="00DD785C"/>
    <w:rsid w:val="00DF1397"/>
    <w:rsid w:val="00E51338"/>
    <w:rsid w:val="00EF2EED"/>
    <w:rsid w:val="00F15ABB"/>
    <w:rsid w:val="00F478A1"/>
    <w:rsid w:val="00F71518"/>
    <w:rsid w:val="00FC67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12F03C2-AE11-4392-AD67-9E8B027A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22B0"/>
    <w:pPr>
      <w:spacing w:after="0" w:line="240" w:lineRule="auto"/>
    </w:pPr>
    <w:rPr>
      <w:sz w:val="20"/>
      <w:szCs w:val="20"/>
    </w:rPr>
  </w:style>
  <w:style w:type="character" w:customStyle="1" w:styleId="FootnoteTextChar">
    <w:name w:val="Footnote Text Char"/>
    <w:link w:val="FootnoteText"/>
    <w:uiPriority w:val="99"/>
    <w:semiHidden/>
    <w:rsid w:val="00AA22B0"/>
    <w:rPr>
      <w:sz w:val="20"/>
      <w:szCs w:val="20"/>
    </w:rPr>
  </w:style>
  <w:style w:type="character" w:styleId="FootnoteReference">
    <w:name w:val="footnote reference"/>
    <w:uiPriority w:val="99"/>
    <w:semiHidden/>
    <w:unhideWhenUsed/>
    <w:rsid w:val="00AA22B0"/>
    <w:rPr>
      <w:vertAlign w:val="superscript"/>
    </w:rPr>
  </w:style>
  <w:style w:type="paragraph" w:styleId="ListParagraph">
    <w:name w:val="List Paragraph"/>
    <w:basedOn w:val="Normal"/>
    <w:uiPriority w:val="34"/>
    <w:qFormat/>
    <w:rsid w:val="00371A44"/>
    <w:pPr>
      <w:ind w:left="720"/>
      <w:contextualSpacing/>
    </w:pPr>
  </w:style>
  <w:style w:type="character" w:styleId="Hyperlink">
    <w:name w:val="Hyperlink"/>
    <w:uiPriority w:val="99"/>
    <w:semiHidden/>
    <w:unhideWhenUsed/>
    <w:rsid w:val="00371A44"/>
    <w:rPr>
      <w:color w:val="0000FF"/>
      <w:u w:val="single"/>
    </w:rPr>
  </w:style>
  <w:style w:type="paragraph" w:styleId="Header">
    <w:name w:val="header"/>
    <w:basedOn w:val="Normal"/>
    <w:link w:val="HeaderChar"/>
    <w:uiPriority w:val="99"/>
    <w:unhideWhenUsed/>
    <w:rsid w:val="009F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0BA"/>
  </w:style>
  <w:style w:type="paragraph" w:styleId="Footer">
    <w:name w:val="footer"/>
    <w:basedOn w:val="Normal"/>
    <w:link w:val="FooterChar"/>
    <w:uiPriority w:val="99"/>
    <w:unhideWhenUsed/>
    <w:rsid w:val="009F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o.int/nato_static/assets/pdf/pdf_publications/20120412_ShortHistory_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to.int/welcome/brochure_WhatIsNATO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E1383-330B-4239-B162-7A36E31A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Institutii de Securitate</vt:lpstr>
    </vt:vector>
  </TitlesOfParts>
  <Company/>
  <LinksUpToDate>false</LinksUpToDate>
  <CharactersWithSpaces>14457</CharactersWithSpaces>
  <SharedDoc>false</SharedDoc>
  <HLinks>
    <vt:vector size="12" baseType="variant">
      <vt:variant>
        <vt:i4>5832788</vt:i4>
      </vt:variant>
      <vt:variant>
        <vt:i4>3</vt:i4>
      </vt:variant>
      <vt:variant>
        <vt:i4>0</vt:i4>
      </vt:variant>
      <vt:variant>
        <vt:i4>5</vt:i4>
      </vt:variant>
      <vt:variant>
        <vt:lpwstr>http://www.nato.int/welcome/brochure_WhatIsNATO_en.pdf</vt:lpwstr>
      </vt:variant>
      <vt:variant>
        <vt:lpwstr/>
      </vt:variant>
      <vt:variant>
        <vt:i4>7798827</vt:i4>
      </vt:variant>
      <vt:variant>
        <vt:i4>0</vt:i4>
      </vt:variant>
      <vt:variant>
        <vt:i4>0</vt:i4>
      </vt:variant>
      <vt:variant>
        <vt:i4>5</vt:i4>
      </vt:variant>
      <vt:variant>
        <vt:lpwstr>http://www.nato.int/nato_static/assets/pdf/pdf_publications/20120412_ShortHistory_en.pdf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Institutii de Securitate</dc:title>
  <dc:subject/>
  <dc:creator>www.RegieLive.ro</dc:creator>
  <cp:keywords/>
  <cp:lastModifiedBy>ZuzuNebunu</cp:lastModifiedBy>
  <cp:revision>4</cp:revision>
  <dcterms:created xsi:type="dcterms:W3CDTF">2020-12-20T11:53:00Z</dcterms:created>
  <dcterms:modified xsi:type="dcterms:W3CDTF">2020-12-20T11:53:00Z</dcterms:modified>
</cp:coreProperties>
</file>