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97A" w:rsidRDefault="0039397A"/>
    <w:p w:rsidR="00523DF7" w:rsidRPr="00334B22" w:rsidRDefault="00CA19C0" w:rsidP="00CA19C0">
      <w:pPr>
        <w:jc w:val="right"/>
        <w:rPr>
          <w:b/>
          <w:sz w:val="28"/>
          <w:szCs w:val="28"/>
          <w:lang w:val="ro-MD"/>
        </w:rPr>
      </w:pPr>
      <w:bookmarkStart w:id="0" w:name="_GoBack"/>
      <w:r>
        <w:rPr>
          <w:b/>
          <w:sz w:val="28"/>
          <w:szCs w:val="28"/>
          <w:lang w:val="ro-MD"/>
        </w:rPr>
        <w:t>Gheorghița Adelina, gr.301</w:t>
      </w:r>
    </w:p>
    <w:bookmarkEnd w:id="0"/>
    <w:p w:rsidR="00CA19C0" w:rsidRDefault="00CA19C0" w:rsidP="005257EC">
      <w:pPr>
        <w:jc w:val="center"/>
        <w:rPr>
          <w:b/>
          <w:sz w:val="28"/>
          <w:szCs w:val="28"/>
        </w:rPr>
      </w:pPr>
    </w:p>
    <w:p w:rsidR="005257EC" w:rsidRDefault="005C5280" w:rsidP="005257EC">
      <w:pPr>
        <w:jc w:val="center"/>
        <w:rPr>
          <w:b/>
          <w:sz w:val="28"/>
          <w:szCs w:val="28"/>
        </w:rPr>
      </w:pPr>
      <w:r w:rsidRPr="00334B22">
        <w:rPr>
          <w:b/>
          <w:sz w:val="28"/>
          <w:szCs w:val="28"/>
        </w:rPr>
        <w:t>Test №</w:t>
      </w:r>
      <w:r w:rsidR="005257EC" w:rsidRPr="00334B22">
        <w:rPr>
          <w:b/>
          <w:sz w:val="28"/>
          <w:szCs w:val="28"/>
        </w:rPr>
        <w:t xml:space="preserve"> </w:t>
      </w:r>
      <w:r w:rsidR="00520F55" w:rsidRPr="00334B22">
        <w:rPr>
          <w:b/>
          <w:sz w:val="28"/>
          <w:szCs w:val="28"/>
        </w:rPr>
        <w:t>4</w:t>
      </w:r>
    </w:p>
    <w:p w:rsidR="0034669F" w:rsidRPr="00334B22" w:rsidRDefault="0034669F" w:rsidP="005257EC">
      <w:pPr>
        <w:jc w:val="center"/>
        <w:rPr>
          <w:b/>
          <w:sz w:val="28"/>
          <w:szCs w:val="28"/>
        </w:rPr>
      </w:pPr>
    </w:p>
    <w:p w:rsidR="00133DBF" w:rsidRDefault="00133DBF" w:rsidP="00133DBF">
      <w:pPr>
        <w:jc w:val="both"/>
        <w:rPr>
          <w:sz w:val="28"/>
          <w:szCs w:val="28"/>
        </w:rPr>
      </w:pPr>
      <w:r>
        <w:rPr>
          <w:sz w:val="28"/>
          <w:szCs w:val="28"/>
        </w:rPr>
        <w:t>1.</w:t>
      </w:r>
      <w:r w:rsidR="0034669F" w:rsidRPr="00133DBF">
        <w:rPr>
          <w:sz w:val="28"/>
          <w:szCs w:val="28"/>
        </w:rPr>
        <w:t xml:space="preserve">  </w:t>
      </w:r>
      <w:r w:rsidR="001B3A3B">
        <w:rPr>
          <w:sz w:val="28"/>
          <w:szCs w:val="28"/>
        </w:rPr>
        <w:t xml:space="preserve">Serviciile </w:t>
      </w:r>
      <w:proofErr w:type="gramStart"/>
      <w:r w:rsidR="001B3A3B">
        <w:rPr>
          <w:sz w:val="28"/>
          <w:szCs w:val="28"/>
        </w:rPr>
        <w:t xml:space="preserve">speciale </w:t>
      </w:r>
      <w:r w:rsidR="0034669F" w:rsidRPr="00133DBF">
        <w:rPr>
          <w:sz w:val="28"/>
          <w:szCs w:val="28"/>
        </w:rPr>
        <w:t xml:space="preserve"> sunt</w:t>
      </w:r>
      <w:proofErr w:type="gramEnd"/>
      <w:r w:rsidR="0034669F" w:rsidRPr="00133DBF">
        <w:rPr>
          <w:sz w:val="28"/>
          <w:szCs w:val="28"/>
        </w:rPr>
        <w:t xml:space="preserve"> acele organe activităţile cărora presupun cunoaşterea sau previziunea aspectelor globale importante utilizate de politicieni şi lideri pentru luarea deciziilor.  </w:t>
      </w:r>
    </w:p>
    <w:p w:rsidR="00133DBF" w:rsidRDefault="0034669F" w:rsidP="00133DBF">
      <w:pPr>
        <w:jc w:val="both"/>
        <w:rPr>
          <w:sz w:val="28"/>
          <w:szCs w:val="28"/>
        </w:rPr>
      </w:pPr>
      <w:r w:rsidRPr="00133DBF">
        <w:rPr>
          <w:sz w:val="28"/>
          <w:szCs w:val="28"/>
        </w:rPr>
        <w:br/>
      </w:r>
      <w:r w:rsidRPr="00133DBF">
        <w:rPr>
          <w:sz w:val="28"/>
          <w:szCs w:val="28"/>
        </w:rPr>
        <w:tab/>
        <w:t xml:space="preserve">Activităţile acestor servicii pot fi definite prin colectarea, analiza, evaluarea şi interpretarea informaţiei obţinute din surse deschise şi secrete, cu scopul elaborării produsului necesar pentru obţinerea informaţiilor în </w:t>
      </w:r>
      <w:proofErr w:type="gramStart"/>
      <w:r w:rsidRPr="00133DBF">
        <w:rPr>
          <w:sz w:val="28"/>
          <w:szCs w:val="28"/>
        </w:rPr>
        <w:t>domeniul  politicii</w:t>
      </w:r>
      <w:proofErr w:type="gramEnd"/>
      <w:r w:rsidRPr="00133DBF">
        <w:rPr>
          <w:sz w:val="28"/>
          <w:szCs w:val="28"/>
        </w:rPr>
        <w:t xml:space="preserve"> externe şi luarea deciziilor strategice.</w:t>
      </w:r>
      <w:r w:rsidR="00133DBF">
        <w:rPr>
          <w:sz w:val="28"/>
          <w:szCs w:val="28"/>
        </w:rPr>
        <w:t xml:space="preserve"> </w:t>
      </w:r>
    </w:p>
    <w:p w:rsidR="0034669F" w:rsidRPr="00133DBF" w:rsidRDefault="0034669F" w:rsidP="00133DBF">
      <w:pPr>
        <w:jc w:val="both"/>
        <w:rPr>
          <w:sz w:val="28"/>
          <w:szCs w:val="28"/>
        </w:rPr>
      </w:pPr>
      <w:r w:rsidRPr="00133DBF">
        <w:rPr>
          <w:sz w:val="28"/>
          <w:szCs w:val="28"/>
        </w:rPr>
        <w:br/>
      </w:r>
      <w:r w:rsidRPr="00133DBF">
        <w:rPr>
          <w:sz w:val="28"/>
          <w:szCs w:val="28"/>
        </w:rPr>
        <w:tab/>
        <w:t>Această definiţie a activităţilor serviciilor speciale este mai mult tradiţională şi restrânsă, deoarece serviciile au mai multe atribuţii. Ele sunt implicate în operaţiuni secrete, ţinta carora este promovarea intereselelor naţionale prin manipularea tainică a evenimentelor şi prin intermediul folosirii statutului său în străinătare, fără a dezvalui sursa acestei influenţe.</w:t>
      </w:r>
      <w:r w:rsidRPr="00133DBF">
        <w:rPr>
          <w:sz w:val="28"/>
          <w:szCs w:val="28"/>
        </w:rPr>
        <w:br/>
        <w:t xml:space="preserve"> </w:t>
      </w:r>
      <w:r w:rsidRPr="00133DBF">
        <w:rPr>
          <w:sz w:val="28"/>
          <w:szCs w:val="28"/>
        </w:rPr>
        <w:tab/>
        <w:t xml:space="preserve">Principalele condiţii constau în faptul că serviciile speciale nu pot fi adaptate, reformate, transformate fără o înţelegere clară a teoriei care stă la baza acestor servicii. O teorie globală a serviciilor speciale ar trebui să explice legătura dintre cauză şi efect, astfel încât stabilirea sursei în caz de succes sau eşec a acestor servicii să se </w:t>
      </w:r>
      <w:proofErr w:type="gramStart"/>
      <w:r w:rsidRPr="00133DBF">
        <w:rPr>
          <w:sz w:val="28"/>
          <w:szCs w:val="28"/>
        </w:rPr>
        <w:t>producă  înainte</w:t>
      </w:r>
      <w:proofErr w:type="gramEnd"/>
      <w:r w:rsidRPr="00133DBF">
        <w:rPr>
          <w:sz w:val="28"/>
          <w:szCs w:val="28"/>
        </w:rPr>
        <w:t xml:space="preserve"> ca acesta să se întâmple. Cauza iniţială este totul. Înţelegerea motivelor pentru eşecurile din trecut este primul şi cel mai important pas, dar spre regret deseori ignorat, care ne direcţionează spre succesul serviciilor speciale în viitor.</w:t>
      </w:r>
    </w:p>
    <w:p w:rsidR="001B3A3B" w:rsidRDefault="0034669F" w:rsidP="00133DBF">
      <w:pPr>
        <w:jc w:val="both"/>
        <w:rPr>
          <w:sz w:val="28"/>
          <w:szCs w:val="28"/>
        </w:rPr>
      </w:pPr>
      <w:r w:rsidRPr="00133DBF">
        <w:rPr>
          <w:sz w:val="28"/>
          <w:szCs w:val="28"/>
        </w:rPr>
        <w:t>În cele din urmă, serviciile speciale sunt mandatate să efectueze operaţiuni de contrainformaţii menite să protejeze statul, populaţia şi secretele de stat de atacurile din partea serviciilor speciale ostile şi alţi actori/subiecţi şi ameninţări.</w:t>
      </w:r>
      <w:r w:rsidRPr="00133DBF">
        <w:rPr>
          <w:sz w:val="28"/>
          <w:szCs w:val="28"/>
        </w:rPr>
        <w:br/>
      </w:r>
      <w:r w:rsidRPr="00133DBF">
        <w:rPr>
          <w:sz w:val="28"/>
          <w:szCs w:val="28"/>
        </w:rPr>
        <w:tab/>
        <w:t>Din perspectiva teoriei organizaţiilor, un serviciu special sau Intelligence este o organizaţie bine structurată pe funcţiuni şi guvernată de legităţi specifice, rezultat al procesului de organizare sistematică a părţilor componente care contribuie la îndeplinirea scopului organizaţional, al serviciului. Liderul strategic al serviciului este directorul sau echivalentul acestuia.</w:t>
      </w:r>
    </w:p>
    <w:p w:rsidR="001B3A3B" w:rsidRDefault="0034669F" w:rsidP="00133DBF">
      <w:pPr>
        <w:jc w:val="both"/>
        <w:rPr>
          <w:sz w:val="28"/>
          <w:szCs w:val="28"/>
        </w:rPr>
      </w:pPr>
      <w:r w:rsidRPr="00133DBF">
        <w:rPr>
          <w:sz w:val="28"/>
          <w:szCs w:val="28"/>
        </w:rPr>
        <w:br/>
      </w:r>
      <w:r w:rsidRPr="00133DBF">
        <w:rPr>
          <w:sz w:val="28"/>
          <w:szCs w:val="28"/>
        </w:rPr>
        <w:tab/>
        <w:t xml:space="preserve">În zilele noastre o înţelegere adecvată a serviciilor speciale sau Intelligence lipseşte. Acestor servicii le revin împuterniciri speciale, prin intermediul unităţilor lor operaţionale, tehnice, analitice şi de suport, utilizând diverse instrumente de comunicare, supraveghere, control şi documentare. </w:t>
      </w:r>
      <w:r w:rsidRPr="00133DBF">
        <w:rPr>
          <w:sz w:val="28"/>
          <w:szCs w:val="28"/>
        </w:rPr>
        <w:tab/>
      </w:r>
    </w:p>
    <w:p w:rsidR="0034669F" w:rsidRPr="00133DBF" w:rsidRDefault="0034669F" w:rsidP="00133DBF">
      <w:pPr>
        <w:jc w:val="both"/>
        <w:rPr>
          <w:sz w:val="28"/>
          <w:szCs w:val="28"/>
        </w:rPr>
      </w:pPr>
      <w:r w:rsidRPr="00133DBF">
        <w:rPr>
          <w:sz w:val="28"/>
          <w:szCs w:val="28"/>
        </w:rPr>
        <w:t xml:space="preserve">Totuşi, există o diferenţă majoră care trebuie subliniată: serviciile speciale ale statelor democratice au rolul de a apăra securitatea societăţii civile de ameninţări interne şi externe; serviciile similare ale statelor autoritare şi totalitare au drept scop protecţia regimurilor (a grupărilor de putere concrete) şi a scopurilor lor expansioniste potenţiale. Prin urmare, serviciile speciale a statelor totalitare sunt orientate spre controlul populaţiei şi persecutarea grupărilor şi indivizilor opoziţionişti.  </w:t>
      </w:r>
    </w:p>
    <w:p w:rsidR="00000000" w:rsidRPr="00133DBF" w:rsidRDefault="001B3A3B" w:rsidP="00133DBF">
      <w:pPr>
        <w:jc w:val="both"/>
        <w:rPr>
          <w:sz w:val="28"/>
          <w:szCs w:val="28"/>
        </w:rPr>
      </w:pPr>
      <w:r>
        <w:rPr>
          <w:sz w:val="28"/>
          <w:szCs w:val="28"/>
        </w:rPr>
        <w:lastRenderedPageBreak/>
        <w:t xml:space="preserve">  Deci, s</w:t>
      </w:r>
      <w:r w:rsidR="00CA19C0" w:rsidRPr="00133DBF">
        <w:rPr>
          <w:sz w:val="28"/>
          <w:szCs w:val="28"/>
        </w:rPr>
        <w:t xml:space="preserve">erviciile speciale de contracarare </w:t>
      </w:r>
      <w:r w:rsidR="00CA19C0" w:rsidRPr="00133DBF">
        <w:rPr>
          <w:sz w:val="28"/>
          <w:szCs w:val="28"/>
        </w:rPr>
        <w:t>colectează informaţii privind intenţiile şi activitatea indivizilor pe teritoriul ţării lor, care ar putea pune în pericol suveranitatea, integritatea teritorială, securitatea naţională, ordinea constituţio</w:t>
      </w:r>
      <w:r w:rsidR="00CA19C0" w:rsidRPr="00133DBF">
        <w:rPr>
          <w:sz w:val="28"/>
          <w:szCs w:val="28"/>
        </w:rPr>
        <w:t>nală, informaţia secretă şi interesele economice importante ale statului. Interesul lor primar îl constituie terorismul, extremismul şi alte forme de violenţă motivată politic sau ideologic. În unele ţări ele colectează, de asemenea, informaţii privind cri</w:t>
      </w:r>
      <w:r w:rsidR="00CA19C0" w:rsidRPr="00133DBF">
        <w:rPr>
          <w:sz w:val="28"/>
          <w:szCs w:val="28"/>
        </w:rPr>
        <w:t xml:space="preserve">ma organizată. </w:t>
      </w:r>
    </w:p>
    <w:p w:rsidR="00000000" w:rsidRPr="00133DBF" w:rsidRDefault="001B3A3B" w:rsidP="00133DBF">
      <w:pPr>
        <w:jc w:val="both"/>
        <w:rPr>
          <w:sz w:val="28"/>
          <w:szCs w:val="28"/>
        </w:rPr>
      </w:pPr>
      <w:r>
        <w:rPr>
          <w:sz w:val="28"/>
          <w:szCs w:val="28"/>
        </w:rPr>
        <w:t xml:space="preserve">  </w:t>
      </w:r>
      <w:r w:rsidR="00CA19C0" w:rsidRPr="00133DBF">
        <w:rPr>
          <w:sz w:val="28"/>
          <w:szCs w:val="28"/>
        </w:rPr>
        <w:t xml:space="preserve">Serviciile speciale externe </w:t>
      </w:r>
      <w:r w:rsidR="00CA19C0" w:rsidRPr="00133DBF">
        <w:rPr>
          <w:sz w:val="28"/>
          <w:szCs w:val="28"/>
        </w:rPr>
        <w:t xml:space="preserve">colectează informații privind țările străine sau informații ce provine din exterior. </w:t>
      </w:r>
      <w:r w:rsidR="00CA19C0" w:rsidRPr="00133DBF">
        <w:rPr>
          <w:sz w:val="28"/>
          <w:szCs w:val="28"/>
        </w:rPr>
        <w:t>Aceste servicii au scopul de a identifica intenţiile potenţiale ale ţărilor străine şi a agenţilor nonstatali care activează peste hotare. Ele sunt orientate spre identificarea ameninţărilor din străinătate. Datoria acestora este de a apăra interesele poli</w:t>
      </w:r>
      <w:r w:rsidR="00CA19C0" w:rsidRPr="00133DBF">
        <w:rPr>
          <w:sz w:val="28"/>
          <w:szCs w:val="28"/>
        </w:rPr>
        <w:t>tice, economice sau chiar de apărare a ţării lor în străinătate.</w:t>
      </w:r>
    </w:p>
    <w:p w:rsidR="001B3A3B" w:rsidRDefault="0034669F" w:rsidP="00133DBF">
      <w:pPr>
        <w:jc w:val="both"/>
        <w:rPr>
          <w:sz w:val="28"/>
          <w:szCs w:val="28"/>
        </w:rPr>
      </w:pPr>
      <w:r w:rsidRPr="00133DBF">
        <w:rPr>
          <w:sz w:val="28"/>
          <w:szCs w:val="28"/>
        </w:rPr>
        <w:t>O trăsătură foarte importantă a serviciilor speciale şi agenţiilor de informaţii şi securitate ar fi faptul că ele constituie o parte organică a laturii puterii executive. Serviciile speciale şi agenţiile de informaţii în sine tind să se reprezinte drept ceva special, un fel de instituţie supranaţională, care ar trebui tratată în mod separat.</w:t>
      </w:r>
      <w:r w:rsidRPr="00133DBF">
        <w:rPr>
          <w:sz w:val="28"/>
          <w:szCs w:val="28"/>
        </w:rPr>
        <w:br/>
      </w:r>
      <w:r w:rsidRPr="00133DBF">
        <w:rPr>
          <w:sz w:val="28"/>
          <w:szCs w:val="28"/>
        </w:rPr>
        <w:tab/>
        <w:t xml:space="preserve">Însă există dubii privind un moment: ele, într-adevăr, sunt instituţii speciale, având autorizaţii speciale. </w:t>
      </w:r>
    </w:p>
    <w:p w:rsidR="0034669F" w:rsidRPr="00133DBF" w:rsidRDefault="001B3A3B" w:rsidP="00133DBF">
      <w:pPr>
        <w:jc w:val="both"/>
        <w:rPr>
          <w:sz w:val="28"/>
          <w:szCs w:val="28"/>
        </w:rPr>
      </w:pPr>
      <w:r w:rsidRPr="001B3A3B">
        <w:rPr>
          <w:sz w:val="28"/>
          <w:szCs w:val="28"/>
          <w:lang w:val="fr-FR"/>
        </w:rPr>
        <w:t xml:space="preserve">     </w:t>
      </w:r>
      <w:r w:rsidR="0034669F" w:rsidRPr="001B3A3B">
        <w:rPr>
          <w:sz w:val="28"/>
          <w:szCs w:val="28"/>
          <w:lang w:val="fr-FR"/>
        </w:rPr>
        <w:t xml:space="preserve">Dar, în acest context, există un singur rezultat: activitatea lor trebuie să fie reglementată într-un mod mai strict şi, de asemenea, controlată mai riguros decât o instituţie ordinară de stat. </w:t>
      </w:r>
      <w:r w:rsidR="0034669F" w:rsidRPr="00133DBF">
        <w:rPr>
          <w:sz w:val="28"/>
          <w:szCs w:val="28"/>
        </w:rPr>
        <w:t>Acceptând faptul că ele reprezintă o parte a puterii executive, este evident că responsabilitatea politică pentru activităţile serviciilor speciale şi agenţiilor de informaţii aparţine cuiva la nivel executiv, în majoritatea cazurilor unui membru al guvernului.</w:t>
      </w:r>
    </w:p>
    <w:p w:rsidR="0034669F" w:rsidRPr="00133DBF" w:rsidRDefault="0034669F" w:rsidP="00133DBF">
      <w:pPr>
        <w:jc w:val="both"/>
        <w:rPr>
          <w:sz w:val="28"/>
          <w:szCs w:val="28"/>
        </w:rPr>
      </w:pPr>
    </w:p>
    <w:p w:rsidR="0034669F" w:rsidRPr="00133DBF" w:rsidRDefault="0034669F" w:rsidP="00133DBF">
      <w:pPr>
        <w:jc w:val="both"/>
        <w:rPr>
          <w:sz w:val="28"/>
          <w:szCs w:val="28"/>
        </w:rPr>
      </w:pPr>
      <w:r w:rsidRPr="00133DBF">
        <w:rPr>
          <w:sz w:val="28"/>
          <w:szCs w:val="28"/>
        </w:rPr>
        <w:t xml:space="preserve">  </w:t>
      </w:r>
    </w:p>
    <w:p w:rsidR="0034669F" w:rsidRPr="00133DBF" w:rsidRDefault="0034669F" w:rsidP="00133DBF">
      <w:pPr>
        <w:jc w:val="both"/>
        <w:rPr>
          <w:sz w:val="28"/>
          <w:szCs w:val="28"/>
        </w:rPr>
      </w:pPr>
    </w:p>
    <w:p w:rsidR="00523DF7" w:rsidRDefault="00133DBF" w:rsidP="00133DBF">
      <w:pPr>
        <w:jc w:val="both"/>
        <w:rPr>
          <w:sz w:val="28"/>
          <w:szCs w:val="28"/>
        </w:rPr>
      </w:pPr>
      <w:r>
        <w:rPr>
          <w:sz w:val="28"/>
          <w:szCs w:val="28"/>
        </w:rPr>
        <w:t xml:space="preserve">2. </w:t>
      </w:r>
      <w:r w:rsidR="009855B0" w:rsidRPr="00133DBF">
        <w:rPr>
          <w:sz w:val="28"/>
          <w:szCs w:val="28"/>
        </w:rPr>
        <w:t>Securitatea informațională ca factor de organizare a societății contemporane.</w:t>
      </w:r>
    </w:p>
    <w:p w:rsidR="001B3A3B" w:rsidRPr="00133DBF" w:rsidRDefault="001B3A3B" w:rsidP="00133DBF">
      <w:pPr>
        <w:jc w:val="both"/>
        <w:rPr>
          <w:sz w:val="28"/>
          <w:szCs w:val="28"/>
        </w:rPr>
      </w:pPr>
    </w:p>
    <w:p w:rsidR="0034669F" w:rsidRPr="00133DBF" w:rsidRDefault="0034669F" w:rsidP="00133DBF">
      <w:pPr>
        <w:jc w:val="both"/>
        <w:rPr>
          <w:sz w:val="28"/>
          <w:szCs w:val="28"/>
        </w:rPr>
      </w:pPr>
      <w:r w:rsidRPr="00133DBF">
        <w:rPr>
          <w:sz w:val="28"/>
          <w:szCs w:val="28"/>
        </w:rPr>
        <w:t xml:space="preserve">  </w:t>
      </w:r>
      <w:r w:rsidR="001B3A3B">
        <w:rPr>
          <w:sz w:val="28"/>
          <w:szCs w:val="28"/>
        </w:rPr>
        <w:t xml:space="preserve">   </w:t>
      </w:r>
      <w:r w:rsidRPr="00133DBF">
        <w:rPr>
          <w:sz w:val="28"/>
          <w:szCs w:val="28"/>
        </w:rPr>
        <w:t xml:space="preserve">La ziua de azi este evident că sfera informaţională, ca </w:t>
      </w:r>
      <w:proofErr w:type="gramStart"/>
      <w:r w:rsidRPr="00133DBF">
        <w:rPr>
          <w:sz w:val="28"/>
          <w:szCs w:val="28"/>
        </w:rPr>
        <w:t>factor</w:t>
      </w:r>
      <w:proofErr w:type="gramEnd"/>
      <w:r w:rsidRPr="00133DBF">
        <w:rPr>
          <w:sz w:val="28"/>
          <w:szCs w:val="28"/>
        </w:rPr>
        <w:t xml:space="preserve"> de organizare a societăţii contemporane, are o influenţă activă în situaţia politică, economică, de apărare şi alte componente ale securităţii statului. În mare parte, integritatea lumii contemporane, ca societate globală, este asigurată de schimbul informaţional.</w:t>
      </w:r>
    </w:p>
    <w:p w:rsidR="0034669F" w:rsidRDefault="001B3A3B" w:rsidP="00133DBF">
      <w:pPr>
        <w:jc w:val="both"/>
        <w:rPr>
          <w:sz w:val="28"/>
          <w:szCs w:val="28"/>
        </w:rPr>
      </w:pPr>
      <w:r w:rsidRPr="001B3A3B">
        <w:rPr>
          <w:sz w:val="28"/>
          <w:szCs w:val="28"/>
          <w:lang w:val="fr-FR"/>
        </w:rPr>
        <w:t xml:space="preserve">    </w:t>
      </w:r>
      <w:r w:rsidR="0034669F" w:rsidRPr="001B3A3B">
        <w:rPr>
          <w:sz w:val="28"/>
          <w:szCs w:val="28"/>
          <w:lang w:val="fr-FR"/>
        </w:rPr>
        <w:t xml:space="preserve">Reţelele de calculatoare sunt structuri deschise, la care se pot conecta un numar mare şi uneori necontrolat de calculatoare. </w:t>
      </w:r>
      <w:r w:rsidR="0034669F" w:rsidRPr="00133DBF">
        <w:rPr>
          <w:sz w:val="28"/>
          <w:szCs w:val="28"/>
        </w:rPr>
        <w:t xml:space="preserve">Complexitatea arhitecturală şi distribuţia topologică a reţelelor conduc la o mărire necontrolată a mulţimii utilizatorilor cu acces nemijlocit la resursele reţelei- fişiere, baze de date, rutere etc. de aceea putem vorbi de o vulnerabilitate a reţelelor ce se manifestă în diferite moduri. Din această cauză un aspect crucial al reţelelor de calculatoare, în mod special al comunicaţilor pe Internet, îl constituie securitatea informaţiilor. Utilizatorii situaţi la mari distanţe trebuiesc bine identificaţi-în mod tipic prin parole. Cu părere de rău şi sistemele de parole au devenit vulnerabile, atât datorită hacker-ilor care şi-au perfecţionat metodele cât şi datorită alegerii incorecte a parolelor de către utilizatori. Necesitatea de securitate şi de autenticitate, apare la toate nivelele arhitecturale ale reţelelor. În lume s-a creat spaţiul informaţional global unic, în care s-a manifestat o confruntare geostrategică informaţională între marile puteri, pentru atingerea superiorităţii în spaţiul informaţional mondial, în special în megapolisuri, centre-cheie ale societăţii </w:t>
      </w:r>
      <w:r w:rsidR="0034669F" w:rsidRPr="00133DBF">
        <w:rPr>
          <w:sz w:val="28"/>
          <w:szCs w:val="28"/>
        </w:rPr>
        <w:lastRenderedPageBreak/>
        <w:t>informaţionale globale. Aceasta însă provoacă frecvent situaţii critice, deoarece omul de astăzi este practic permanent supus stresului.</w:t>
      </w:r>
    </w:p>
    <w:p w:rsidR="001B3A3B" w:rsidRPr="00133DBF" w:rsidRDefault="001B3A3B" w:rsidP="00133DBF">
      <w:pPr>
        <w:jc w:val="both"/>
        <w:rPr>
          <w:sz w:val="28"/>
          <w:szCs w:val="28"/>
        </w:rPr>
      </w:pPr>
    </w:p>
    <w:p w:rsidR="0060194B" w:rsidRDefault="001B3A3B" w:rsidP="00133DBF">
      <w:pPr>
        <w:jc w:val="both"/>
        <w:rPr>
          <w:sz w:val="28"/>
          <w:szCs w:val="28"/>
        </w:rPr>
      </w:pPr>
      <w:r w:rsidRPr="001B3A3B">
        <w:rPr>
          <w:sz w:val="28"/>
          <w:szCs w:val="28"/>
          <w:lang w:val="fr-FR"/>
        </w:rPr>
        <w:t xml:space="preserve">   </w:t>
      </w:r>
      <w:r>
        <w:rPr>
          <w:sz w:val="28"/>
          <w:szCs w:val="28"/>
          <w:lang w:val="fr-FR"/>
        </w:rPr>
        <w:t xml:space="preserve">Securitatea infromațională este foarte importantă , deoarece de nu , intervine </w:t>
      </w:r>
      <w:r w:rsidR="0060194B" w:rsidRPr="001B3A3B">
        <w:rPr>
          <w:sz w:val="28"/>
          <w:szCs w:val="28"/>
          <w:lang w:val="fr-FR"/>
        </w:rPr>
        <w:t xml:space="preserve">terorismul şi huliganismul informaţional. </w:t>
      </w:r>
      <w:r w:rsidR="0060194B" w:rsidRPr="00133DBF">
        <w:rPr>
          <w:sz w:val="28"/>
          <w:szCs w:val="28"/>
        </w:rPr>
        <w:t>Dacă hacherii pătrund în memoria sistemelor computerizate pentru satisfacerea ambiţiilor proprii, apoi cracherii mai şi „storc" băncile informaţionale. Asemenea „specialişti" sînt extrem de periculoşi pentru sistemele computerizate care dirijează rachetele de luptă, arma cosmică şi nucleară. Consecinţele amestecului lor „profesional" nu este greu de ghicit. Acest lucru poate deveni o tragedie nu numai pentru o ţară, dar şi pentru întreaga omenire. Nivelul de securitate al calculatoarelor şi al reţelelor instalate în bănci, întreprinderi, administraţii şi organizaţii militare rămîne nesatisfăcător. O demonstrează miile de exemple de penetrări realizate de piraţii informatici, sabotaje, hold-up-uri electronice soldate cu milioane de dolari transferaţi.</w:t>
      </w:r>
    </w:p>
    <w:p w:rsidR="001B3A3B" w:rsidRPr="00133DBF" w:rsidRDefault="001B3A3B" w:rsidP="00133DBF">
      <w:pPr>
        <w:jc w:val="both"/>
        <w:rPr>
          <w:sz w:val="28"/>
          <w:szCs w:val="28"/>
        </w:rPr>
      </w:pPr>
    </w:p>
    <w:p w:rsidR="001B3A3B" w:rsidRDefault="001B3A3B" w:rsidP="00133DBF">
      <w:pPr>
        <w:jc w:val="both"/>
        <w:rPr>
          <w:sz w:val="28"/>
          <w:szCs w:val="28"/>
        </w:rPr>
      </w:pPr>
      <w:r>
        <w:rPr>
          <w:sz w:val="28"/>
          <w:szCs w:val="28"/>
        </w:rPr>
        <w:t xml:space="preserve">  </w:t>
      </w:r>
      <w:r w:rsidR="0034669F" w:rsidRPr="00133DBF">
        <w:rPr>
          <w:sz w:val="28"/>
          <w:szCs w:val="28"/>
        </w:rPr>
        <w:t xml:space="preserve">Securitatea informaţională este un domeniu mult prea vast şi cu prea multe domenii conexe pentru a fi detaliat complet undeva. Lumea este în continuă mişcare, cerinţele de securitate şi confidenţialitate cresc pe zi ce trece, ameninţările ţin pasul. Acest scurt articol a avut rolul unei introduceri generale ale principalelor aspecte din securitatea electronică din ziua de azi. </w:t>
      </w:r>
    </w:p>
    <w:p w:rsidR="001B3A3B" w:rsidRDefault="001B3A3B" w:rsidP="00133DBF">
      <w:pPr>
        <w:jc w:val="both"/>
        <w:rPr>
          <w:sz w:val="28"/>
          <w:szCs w:val="28"/>
        </w:rPr>
      </w:pPr>
    </w:p>
    <w:p w:rsidR="0034669F" w:rsidRDefault="001B3A3B" w:rsidP="00133DBF">
      <w:pPr>
        <w:jc w:val="both"/>
        <w:rPr>
          <w:sz w:val="28"/>
          <w:szCs w:val="28"/>
        </w:rPr>
      </w:pPr>
      <w:r>
        <w:rPr>
          <w:sz w:val="28"/>
          <w:szCs w:val="28"/>
        </w:rPr>
        <w:t xml:space="preserve">     </w:t>
      </w:r>
      <w:r w:rsidR="0034669F" w:rsidRPr="00133DBF">
        <w:rPr>
          <w:sz w:val="28"/>
          <w:szCs w:val="28"/>
        </w:rPr>
        <w:t>În concluzie accentuăm că noile condiţii ce implică dezvoltarea societăţii informaţionale pe baza utilizării reţelelor informaţionale globale, dezvoltarea schimbului informaţional transfrontalier, globalizarea sistemului economiei mondiale şi creşterea nivelului informatizării necesită scoaterea în evidenţă a factorilor care anterior nu reprezentau ameninţări considerabile. Aceşti factori fac ca securitatea intereselor naţionale în sfera informaţională să fie un element important al securităţii naţionale a statului.</w:t>
      </w:r>
    </w:p>
    <w:p w:rsidR="001B3A3B" w:rsidRPr="00133DBF" w:rsidRDefault="001B3A3B" w:rsidP="00133DBF">
      <w:pPr>
        <w:jc w:val="both"/>
        <w:rPr>
          <w:sz w:val="28"/>
          <w:szCs w:val="28"/>
        </w:rPr>
      </w:pPr>
    </w:p>
    <w:p w:rsidR="00334B22" w:rsidRDefault="00133DBF" w:rsidP="00133DBF">
      <w:pPr>
        <w:jc w:val="both"/>
        <w:rPr>
          <w:sz w:val="28"/>
          <w:szCs w:val="28"/>
        </w:rPr>
      </w:pPr>
      <w:r>
        <w:rPr>
          <w:sz w:val="28"/>
          <w:szCs w:val="28"/>
        </w:rPr>
        <w:t>3.</w:t>
      </w:r>
      <w:r w:rsidR="00334B22" w:rsidRPr="00133DBF">
        <w:rPr>
          <w:sz w:val="28"/>
          <w:szCs w:val="28"/>
        </w:rPr>
        <w:t xml:space="preserve">Definirea conflictelor militare interne; </w:t>
      </w:r>
    </w:p>
    <w:p w:rsidR="001B3A3B" w:rsidRPr="00133DBF" w:rsidRDefault="001B3A3B" w:rsidP="00133DBF">
      <w:pPr>
        <w:jc w:val="both"/>
        <w:rPr>
          <w:sz w:val="28"/>
          <w:szCs w:val="28"/>
        </w:rPr>
      </w:pPr>
    </w:p>
    <w:p w:rsidR="001B3A3B" w:rsidRDefault="0060194B" w:rsidP="00133DBF">
      <w:pPr>
        <w:jc w:val="both"/>
        <w:rPr>
          <w:sz w:val="28"/>
          <w:szCs w:val="28"/>
        </w:rPr>
      </w:pPr>
      <w:r w:rsidRPr="00133DBF">
        <w:rPr>
          <w:sz w:val="28"/>
          <w:szCs w:val="28"/>
        </w:rPr>
        <w:t xml:space="preserve">Conflictul armat non-internaţional (intern). Reglementarea de bază în această materie se găseşte în art. 3 comun celor 4 convenţii de la Geneva din 1949, care precizează conţinutul protecţiei umanitare în cazul acestui tip de conflict (ivit pe teritoriul uneia din înaltele părţi contractante) a persoanelor care nu participă direct la ostilităţi, inclusiv membrilor forţelor armate care au depus armele şi persoanelor care au fost scoase din luptă din diverse motive. </w:t>
      </w:r>
    </w:p>
    <w:p w:rsidR="0060194B" w:rsidRPr="00133DBF" w:rsidRDefault="0060194B" w:rsidP="00133DBF">
      <w:pPr>
        <w:jc w:val="both"/>
        <w:rPr>
          <w:sz w:val="28"/>
          <w:szCs w:val="28"/>
        </w:rPr>
      </w:pPr>
      <w:r w:rsidRPr="00133DBF">
        <w:rPr>
          <w:sz w:val="28"/>
          <w:szCs w:val="28"/>
        </w:rPr>
        <w:t xml:space="preserve">Protocolul adiţional la convenţiile de la Geneva din 12 august 1949 privind protecţia victimelor conflictelor armate fără caracter internaţional (Protocolul II) precizează în art. 1 tipologia conflictelor interne, ca fiind "cele purtate pe teritoriul unui stat între forţele armate şi forţele sale dizidente sau grupuri înarmate organizate, care, sub conducerea unui comandament responsabil, exercită un asemenea control asupra unei părţi a teritoriului său, astfel încât să-i permită să desfăşoare operaţiuni militare susţinute şi coordonate şi să aplice prezentul protocol, cu excluderea situaţiilor de tensiune internă şi tulburărilor interne, cum sunt actele de dezordine publică, actele sporadice şi izolate de violenţă şi alte acte analoge, care nu sunt conflicte armate". Dispoziţiile Protocolului II se aplică tuturor persoanelor afectate de un conflict armat </w:t>
      </w:r>
      <w:r w:rsidRPr="00133DBF">
        <w:rPr>
          <w:sz w:val="28"/>
          <w:szCs w:val="28"/>
        </w:rPr>
        <w:lastRenderedPageBreak/>
        <w:t>non-internaţional, fără nicio distincţie. Potrivit principiului neintervenţiei, prevăzut în art. 3 al Protocolului II: "nicio dispoziţie din acest protocol nu va putea fi invocată în scopul afectării suveranităţii unui stat sau a responsabilităţii ce revine Guvernului de a acţiona pentru menţinerea sau restabilirea ordinii publice în stat sau pentru apărarea, prin toate mijloacele legitime, a unităţii naţionale şi integrităţii teritoriale a statului şi nici pentru a justifica o intervenţie directă sau indirectă, oricare ar fi motivul, în conflictul armat sau în afacerile interne ori externe ale unei înalte părţi contractante pe al cărei teritoriu are loc conflictul".</w:t>
      </w:r>
    </w:p>
    <w:p w:rsidR="0060194B" w:rsidRDefault="001B3A3B" w:rsidP="00133DBF">
      <w:pPr>
        <w:jc w:val="both"/>
        <w:rPr>
          <w:sz w:val="28"/>
          <w:szCs w:val="28"/>
        </w:rPr>
      </w:pPr>
      <w:r>
        <w:rPr>
          <w:sz w:val="28"/>
          <w:szCs w:val="28"/>
        </w:rPr>
        <w:t xml:space="preserve">    </w:t>
      </w:r>
      <w:r w:rsidR="0060194B" w:rsidRPr="00133DBF">
        <w:rPr>
          <w:sz w:val="28"/>
          <w:szCs w:val="28"/>
        </w:rPr>
        <w:t>Pentru a distinge un conflict armat non-internaţional (intern) de alte tipuri de violenţă, în contextul dreptului internaţional umanitar (D.I.U.), trebuie să fie verificate cumulativ următoarele condiţii: conflictul să nu aibă caracter internaţional (conform definiţiei din art. 2 comun al convenţiilor de la Geneva din 1949 şi art. 1 din Protocolul adiţional I la acestea); acesta să aibă loc în întregime şi exclusiv pe teritoriul unui singur stat; să se desfăşoare între forţele armate ale guvernului în exerciţiu al statului respectiv şi forţe dizidente ori grupuri armate organizate sau doar între grupuri armate pe teritoriul unui stat şi să atingă un nivel important de intensitate.</w:t>
      </w:r>
    </w:p>
    <w:p w:rsidR="001B3A3B" w:rsidRPr="00133DBF" w:rsidRDefault="001B3A3B" w:rsidP="00133DBF">
      <w:pPr>
        <w:jc w:val="both"/>
        <w:rPr>
          <w:sz w:val="28"/>
          <w:szCs w:val="28"/>
        </w:rPr>
      </w:pPr>
    </w:p>
    <w:p w:rsidR="0060194B" w:rsidRPr="00133DBF" w:rsidRDefault="001B3A3B" w:rsidP="00133DBF">
      <w:pPr>
        <w:jc w:val="both"/>
        <w:rPr>
          <w:sz w:val="28"/>
          <w:szCs w:val="28"/>
        </w:rPr>
      </w:pPr>
      <w:r>
        <w:rPr>
          <w:sz w:val="28"/>
          <w:szCs w:val="28"/>
        </w:rPr>
        <w:t xml:space="preserve">    </w:t>
      </w:r>
      <w:r w:rsidR="0060194B" w:rsidRPr="00133DBF">
        <w:rPr>
          <w:sz w:val="28"/>
          <w:szCs w:val="28"/>
        </w:rPr>
        <w:t>Un conflict ce se desfăşoară doar între grupuri armate pe teritoriul unui stat reprezintă, de asemenea, un conflict intern în accepţiunea dreptului internaţional umanitar (D.I.U.), în varianta art. 3 comun din convenţiile de la Geneva din 1949, dar nu şi din punctul de vedere al protecţiei conferite de Protocolul II (acesta din urmă exclude situaţia conflictului între două sau mai multe grupări armate între ele)8. Cu toate acestea, art. 8 paragr. 2 lit. f) din Statutul Curţii Penale Internaţionale arată că: "acest statut se aplică conflictelor armate care opun de o manieră îndelungată, pe teritoriul unui stat, autorităţile guvernamentale ale acelui stat şi grupări armate organizate sau grupări armate organizate între ele". Jurisprudenţa Tribunalului Penal Internaţional pentru Fosta Iugoslavie confirmă această din urmă viziune</w:t>
      </w:r>
    </w:p>
    <w:p w:rsidR="0060194B" w:rsidRPr="00133DBF" w:rsidRDefault="0060194B" w:rsidP="00133DBF">
      <w:pPr>
        <w:jc w:val="both"/>
        <w:rPr>
          <w:sz w:val="28"/>
          <w:szCs w:val="28"/>
        </w:rPr>
      </w:pPr>
    </w:p>
    <w:p w:rsidR="0060194B" w:rsidRPr="0060194B" w:rsidRDefault="0060194B" w:rsidP="0060194B">
      <w:pPr>
        <w:pStyle w:val="a3"/>
        <w:ind w:left="142"/>
        <w:jc w:val="both"/>
        <w:rPr>
          <w:rStyle w:val="markedcontent"/>
          <w:b/>
          <w:sz w:val="28"/>
          <w:szCs w:val="28"/>
          <w:lang w:val="fr-FR"/>
        </w:rPr>
      </w:pPr>
    </w:p>
    <w:p w:rsidR="009855B0" w:rsidRPr="0060194B" w:rsidRDefault="009855B0" w:rsidP="008B5C47">
      <w:pPr>
        <w:jc w:val="center"/>
        <w:rPr>
          <w:b/>
          <w:sz w:val="28"/>
          <w:szCs w:val="28"/>
          <w:lang w:val="fr-FR"/>
        </w:rPr>
      </w:pPr>
    </w:p>
    <w:p w:rsidR="00334B22" w:rsidRPr="0060194B" w:rsidRDefault="00334B22" w:rsidP="0034669F">
      <w:pPr>
        <w:rPr>
          <w:rStyle w:val="markedcontent"/>
          <w:sz w:val="28"/>
          <w:szCs w:val="28"/>
          <w:lang w:val="fr-FR"/>
        </w:rPr>
      </w:pPr>
    </w:p>
    <w:sectPr w:rsidR="00334B22" w:rsidRPr="0060194B" w:rsidSect="00334B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6E5"/>
    <w:multiLevelType w:val="hybridMultilevel"/>
    <w:tmpl w:val="F8D6F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124DD"/>
    <w:multiLevelType w:val="hybridMultilevel"/>
    <w:tmpl w:val="D7683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F1262"/>
    <w:multiLevelType w:val="hybridMultilevel"/>
    <w:tmpl w:val="FE5A5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56DE3"/>
    <w:multiLevelType w:val="hybridMultilevel"/>
    <w:tmpl w:val="CFF44778"/>
    <w:lvl w:ilvl="0" w:tplc="41723FE2">
      <w:start w:val="1"/>
      <w:numFmt w:val="bullet"/>
      <w:lvlText w:val="•"/>
      <w:lvlJc w:val="left"/>
      <w:pPr>
        <w:tabs>
          <w:tab w:val="num" w:pos="720"/>
        </w:tabs>
        <w:ind w:left="720" w:hanging="360"/>
      </w:pPr>
      <w:rPr>
        <w:rFonts w:ascii="Times New Roman" w:hAnsi="Times New Roman" w:hint="default"/>
      </w:rPr>
    </w:lvl>
    <w:lvl w:ilvl="1" w:tplc="1E9CB03A" w:tentative="1">
      <w:start w:val="1"/>
      <w:numFmt w:val="bullet"/>
      <w:lvlText w:val="•"/>
      <w:lvlJc w:val="left"/>
      <w:pPr>
        <w:tabs>
          <w:tab w:val="num" w:pos="1440"/>
        </w:tabs>
        <w:ind w:left="1440" w:hanging="360"/>
      </w:pPr>
      <w:rPr>
        <w:rFonts w:ascii="Times New Roman" w:hAnsi="Times New Roman" w:hint="default"/>
      </w:rPr>
    </w:lvl>
    <w:lvl w:ilvl="2" w:tplc="1CFC302C" w:tentative="1">
      <w:start w:val="1"/>
      <w:numFmt w:val="bullet"/>
      <w:lvlText w:val="•"/>
      <w:lvlJc w:val="left"/>
      <w:pPr>
        <w:tabs>
          <w:tab w:val="num" w:pos="2160"/>
        </w:tabs>
        <w:ind w:left="2160" w:hanging="360"/>
      </w:pPr>
      <w:rPr>
        <w:rFonts w:ascii="Times New Roman" w:hAnsi="Times New Roman" w:hint="default"/>
      </w:rPr>
    </w:lvl>
    <w:lvl w:ilvl="3" w:tplc="8B54A866" w:tentative="1">
      <w:start w:val="1"/>
      <w:numFmt w:val="bullet"/>
      <w:lvlText w:val="•"/>
      <w:lvlJc w:val="left"/>
      <w:pPr>
        <w:tabs>
          <w:tab w:val="num" w:pos="2880"/>
        </w:tabs>
        <w:ind w:left="2880" w:hanging="360"/>
      </w:pPr>
      <w:rPr>
        <w:rFonts w:ascii="Times New Roman" w:hAnsi="Times New Roman" w:hint="default"/>
      </w:rPr>
    </w:lvl>
    <w:lvl w:ilvl="4" w:tplc="F912B450" w:tentative="1">
      <w:start w:val="1"/>
      <w:numFmt w:val="bullet"/>
      <w:lvlText w:val="•"/>
      <w:lvlJc w:val="left"/>
      <w:pPr>
        <w:tabs>
          <w:tab w:val="num" w:pos="3600"/>
        </w:tabs>
        <w:ind w:left="3600" w:hanging="360"/>
      </w:pPr>
      <w:rPr>
        <w:rFonts w:ascii="Times New Roman" w:hAnsi="Times New Roman" w:hint="default"/>
      </w:rPr>
    </w:lvl>
    <w:lvl w:ilvl="5" w:tplc="0E1A5790" w:tentative="1">
      <w:start w:val="1"/>
      <w:numFmt w:val="bullet"/>
      <w:lvlText w:val="•"/>
      <w:lvlJc w:val="left"/>
      <w:pPr>
        <w:tabs>
          <w:tab w:val="num" w:pos="4320"/>
        </w:tabs>
        <w:ind w:left="4320" w:hanging="360"/>
      </w:pPr>
      <w:rPr>
        <w:rFonts w:ascii="Times New Roman" w:hAnsi="Times New Roman" w:hint="default"/>
      </w:rPr>
    </w:lvl>
    <w:lvl w:ilvl="6" w:tplc="8850E89A" w:tentative="1">
      <w:start w:val="1"/>
      <w:numFmt w:val="bullet"/>
      <w:lvlText w:val="•"/>
      <w:lvlJc w:val="left"/>
      <w:pPr>
        <w:tabs>
          <w:tab w:val="num" w:pos="5040"/>
        </w:tabs>
        <w:ind w:left="5040" w:hanging="360"/>
      </w:pPr>
      <w:rPr>
        <w:rFonts w:ascii="Times New Roman" w:hAnsi="Times New Roman" w:hint="default"/>
      </w:rPr>
    </w:lvl>
    <w:lvl w:ilvl="7" w:tplc="1FF20836" w:tentative="1">
      <w:start w:val="1"/>
      <w:numFmt w:val="bullet"/>
      <w:lvlText w:val="•"/>
      <w:lvlJc w:val="left"/>
      <w:pPr>
        <w:tabs>
          <w:tab w:val="num" w:pos="5760"/>
        </w:tabs>
        <w:ind w:left="5760" w:hanging="360"/>
      </w:pPr>
      <w:rPr>
        <w:rFonts w:ascii="Times New Roman" w:hAnsi="Times New Roman" w:hint="default"/>
      </w:rPr>
    </w:lvl>
    <w:lvl w:ilvl="8" w:tplc="55D64A3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4394BFA"/>
    <w:multiLevelType w:val="hybridMultilevel"/>
    <w:tmpl w:val="F64C7962"/>
    <w:lvl w:ilvl="0" w:tplc="012665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B21BF4"/>
    <w:multiLevelType w:val="hybridMultilevel"/>
    <w:tmpl w:val="096CB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E468BF"/>
    <w:multiLevelType w:val="multilevel"/>
    <w:tmpl w:val="497A22C4"/>
    <w:lvl w:ilvl="0">
      <w:start w:val="1"/>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7" w15:restartNumberingAfterBreak="0">
    <w:nsid w:val="35BE7A96"/>
    <w:multiLevelType w:val="hybridMultilevel"/>
    <w:tmpl w:val="A260DAE2"/>
    <w:lvl w:ilvl="0" w:tplc="B6BA91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6509CA"/>
    <w:multiLevelType w:val="hybridMultilevel"/>
    <w:tmpl w:val="576E9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44544"/>
    <w:multiLevelType w:val="hybridMultilevel"/>
    <w:tmpl w:val="16A2C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0120B1"/>
    <w:multiLevelType w:val="hybridMultilevel"/>
    <w:tmpl w:val="AF62C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03095F"/>
    <w:multiLevelType w:val="hybridMultilevel"/>
    <w:tmpl w:val="66820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2C3984"/>
    <w:multiLevelType w:val="hybridMultilevel"/>
    <w:tmpl w:val="6CD0F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1800CC"/>
    <w:multiLevelType w:val="multilevel"/>
    <w:tmpl w:val="A9C431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0A1394"/>
    <w:multiLevelType w:val="hybridMultilevel"/>
    <w:tmpl w:val="8ECE1E72"/>
    <w:lvl w:ilvl="0" w:tplc="6794EFEC">
      <w:start w:val="1"/>
      <w:numFmt w:val="bullet"/>
      <w:lvlText w:val="•"/>
      <w:lvlJc w:val="left"/>
      <w:pPr>
        <w:tabs>
          <w:tab w:val="num" w:pos="720"/>
        </w:tabs>
        <w:ind w:left="720" w:hanging="360"/>
      </w:pPr>
      <w:rPr>
        <w:rFonts w:ascii="Times New Roman" w:hAnsi="Times New Roman" w:hint="default"/>
      </w:rPr>
    </w:lvl>
    <w:lvl w:ilvl="1" w:tplc="B22486F8" w:tentative="1">
      <w:start w:val="1"/>
      <w:numFmt w:val="bullet"/>
      <w:lvlText w:val="•"/>
      <w:lvlJc w:val="left"/>
      <w:pPr>
        <w:tabs>
          <w:tab w:val="num" w:pos="1440"/>
        </w:tabs>
        <w:ind w:left="1440" w:hanging="360"/>
      </w:pPr>
      <w:rPr>
        <w:rFonts w:ascii="Times New Roman" w:hAnsi="Times New Roman" w:hint="default"/>
      </w:rPr>
    </w:lvl>
    <w:lvl w:ilvl="2" w:tplc="5C0215A2" w:tentative="1">
      <w:start w:val="1"/>
      <w:numFmt w:val="bullet"/>
      <w:lvlText w:val="•"/>
      <w:lvlJc w:val="left"/>
      <w:pPr>
        <w:tabs>
          <w:tab w:val="num" w:pos="2160"/>
        </w:tabs>
        <w:ind w:left="2160" w:hanging="360"/>
      </w:pPr>
      <w:rPr>
        <w:rFonts w:ascii="Times New Roman" w:hAnsi="Times New Roman" w:hint="default"/>
      </w:rPr>
    </w:lvl>
    <w:lvl w:ilvl="3" w:tplc="53C62672" w:tentative="1">
      <w:start w:val="1"/>
      <w:numFmt w:val="bullet"/>
      <w:lvlText w:val="•"/>
      <w:lvlJc w:val="left"/>
      <w:pPr>
        <w:tabs>
          <w:tab w:val="num" w:pos="2880"/>
        </w:tabs>
        <w:ind w:left="2880" w:hanging="360"/>
      </w:pPr>
      <w:rPr>
        <w:rFonts w:ascii="Times New Roman" w:hAnsi="Times New Roman" w:hint="default"/>
      </w:rPr>
    </w:lvl>
    <w:lvl w:ilvl="4" w:tplc="286E6C4E" w:tentative="1">
      <w:start w:val="1"/>
      <w:numFmt w:val="bullet"/>
      <w:lvlText w:val="•"/>
      <w:lvlJc w:val="left"/>
      <w:pPr>
        <w:tabs>
          <w:tab w:val="num" w:pos="3600"/>
        </w:tabs>
        <w:ind w:left="3600" w:hanging="360"/>
      </w:pPr>
      <w:rPr>
        <w:rFonts w:ascii="Times New Roman" w:hAnsi="Times New Roman" w:hint="default"/>
      </w:rPr>
    </w:lvl>
    <w:lvl w:ilvl="5" w:tplc="69FA0212" w:tentative="1">
      <w:start w:val="1"/>
      <w:numFmt w:val="bullet"/>
      <w:lvlText w:val="•"/>
      <w:lvlJc w:val="left"/>
      <w:pPr>
        <w:tabs>
          <w:tab w:val="num" w:pos="4320"/>
        </w:tabs>
        <w:ind w:left="4320" w:hanging="360"/>
      </w:pPr>
      <w:rPr>
        <w:rFonts w:ascii="Times New Roman" w:hAnsi="Times New Roman" w:hint="default"/>
      </w:rPr>
    </w:lvl>
    <w:lvl w:ilvl="6" w:tplc="D988D1AE" w:tentative="1">
      <w:start w:val="1"/>
      <w:numFmt w:val="bullet"/>
      <w:lvlText w:val="•"/>
      <w:lvlJc w:val="left"/>
      <w:pPr>
        <w:tabs>
          <w:tab w:val="num" w:pos="5040"/>
        </w:tabs>
        <w:ind w:left="5040" w:hanging="360"/>
      </w:pPr>
      <w:rPr>
        <w:rFonts w:ascii="Times New Roman" w:hAnsi="Times New Roman" w:hint="default"/>
      </w:rPr>
    </w:lvl>
    <w:lvl w:ilvl="7" w:tplc="9F527544" w:tentative="1">
      <w:start w:val="1"/>
      <w:numFmt w:val="bullet"/>
      <w:lvlText w:val="•"/>
      <w:lvlJc w:val="left"/>
      <w:pPr>
        <w:tabs>
          <w:tab w:val="num" w:pos="5760"/>
        </w:tabs>
        <w:ind w:left="5760" w:hanging="360"/>
      </w:pPr>
      <w:rPr>
        <w:rFonts w:ascii="Times New Roman" w:hAnsi="Times New Roman" w:hint="default"/>
      </w:rPr>
    </w:lvl>
    <w:lvl w:ilvl="8" w:tplc="17E030F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AF645EE"/>
    <w:multiLevelType w:val="hybridMultilevel"/>
    <w:tmpl w:val="0C72E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2B49C5"/>
    <w:multiLevelType w:val="hybridMultilevel"/>
    <w:tmpl w:val="C1FA2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CA5763"/>
    <w:multiLevelType w:val="hybridMultilevel"/>
    <w:tmpl w:val="73C83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9067A5"/>
    <w:multiLevelType w:val="multilevel"/>
    <w:tmpl w:val="CCF800CC"/>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9" w15:restartNumberingAfterBreak="0">
    <w:nsid w:val="686F45DE"/>
    <w:multiLevelType w:val="multilevel"/>
    <w:tmpl w:val="FEE2C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8435A1"/>
    <w:multiLevelType w:val="hybridMultilevel"/>
    <w:tmpl w:val="22569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8"/>
  </w:num>
  <w:num w:numId="3">
    <w:abstractNumId w:val="6"/>
  </w:num>
  <w:num w:numId="4">
    <w:abstractNumId w:val="19"/>
  </w:num>
  <w:num w:numId="5">
    <w:abstractNumId w:val="16"/>
  </w:num>
  <w:num w:numId="6">
    <w:abstractNumId w:val="1"/>
  </w:num>
  <w:num w:numId="7">
    <w:abstractNumId w:val="12"/>
  </w:num>
  <w:num w:numId="8">
    <w:abstractNumId w:val="10"/>
  </w:num>
  <w:num w:numId="9">
    <w:abstractNumId w:val="15"/>
  </w:num>
  <w:num w:numId="10">
    <w:abstractNumId w:val="9"/>
  </w:num>
  <w:num w:numId="11">
    <w:abstractNumId w:val="11"/>
  </w:num>
  <w:num w:numId="12">
    <w:abstractNumId w:val="0"/>
  </w:num>
  <w:num w:numId="13">
    <w:abstractNumId w:val="17"/>
  </w:num>
  <w:num w:numId="14">
    <w:abstractNumId w:val="8"/>
  </w:num>
  <w:num w:numId="15">
    <w:abstractNumId w:val="2"/>
  </w:num>
  <w:num w:numId="16">
    <w:abstractNumId w:val="20"/>
  </w:num>
  <w:num w:numId="17">
    <w:abstractNumId w:val="7"/>
  </w:num>
  <w:num w:numId="18">
    <w:abstractNumId w:val="5"/>
  </w:num>
  <w:num w:numId="19">
    <w:abstractNumId w:val="4"/>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1C"/>
    <w:rsid w:val="0004408A"/>
    <w:rsid w:val="000A4BEB"/>
    <w:rsid w:val="00133DBF"/>
    <w:rsid w:val="00180132"/>
    <w:rsid w:val="001B3A3B"/>
    <w:rsid w:val="00334B22"/>
    <w:rsid w:val="0034669F"/>
    <w:rsid w:val="0039397A"/>
    <w:rsid w:val="0044673C"/>
    <w:rsid w:val="00520F55"/>
    <w:rsid w:val="00523DF7"/>
    <w:rsid w:val="005257EC"/>
    <w:rsid w:val="005C5280"/>
    <w:rsid w:val="0060194B"/>
    <w:rsid w:val="006E615E"/>
    <w:rsid w:val="008A251C"/>
    <w:rsid w:val="008B5C47"/>
    <w:rsid w:val="009855B0"/>
    <w:rsid w:val="00A1622D"/>
    <w:rsid w:val="00C35F66"/>
    <w:rsid w:val="00CA19C0"/>
    <w:rsid w:val="00E15682"/>
    <w:rsid w:val="00F645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5992"/>
  <w15:docId w15:val="{58E3DF18-7298-4E89-8B7B-4B7DA4EA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7EC"/>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EC"/>
    <w:pPr>
      <w:ind w:left="720"/>
      <w:contextualSpacing/>
    </w:pPr>
  </w:style>
  <w:style w:type="table" w:styleId="a4">
    <w:name w:val="Table Grid"/>
    <w:basedOn w:val="a1"/>
    <w:uiPriority w:val="59"/>
    <w:rsid w:val="0052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8B5C47"/>
    <w:pPr>
      <w:widowControl w:val="0"/>
      <w:autoSpaceDE w:val="0"/>
      <w:autoSpaceDN w:val="0"/>
      <w:adjustRightInd w:val="0"/>
      <w:spacing w:before="420" w:after="0" w:line="420" w:lineRule="auto"/>
      <w:ind w:firstLine="840"/>
      <w:jc w:val="both"/>
    </w:pPr>
    <w:rPr>
      <w:rFonts w:ascii="Times New Roman" w:eastAsia="Times New Roman" w:hAnsi="Times New Roman" w:cs="Times New Roman"/>
      <w:sz w:val="28"/>
      <w:szCs w:val="20"/>
      <w:lang w:val="ro-RO"/>
    </w:rPr>
  </w:style>
  <w:style w:type="character" w:customStyle="1" w:styleId="markedcontent">
    <w:name w:val="markedcontent"/>
    <w:basedOn w:val="a0"/>
    <w:rsid w:val="00520F55"/>
  </w:style>
  <w:style w:type="character" w:styleId="a5">
    <w:name w:val="Hyperlink"/>
    <w:basedOn w:val="a0"/>
    <w:uiPriority w:val="99"/>
    <w:semiHidden/>
    <w:unhideWhenUsed/>
    <w:rsid w:val="009855B0"/>
    <w:rPr>
      <w:color w:val="0000FF"/>
      <w:u w:val="single"/>
    </w:rPr>
  </w:style>
  <w:style w:type="paragraph" w:customStyle="1" w:styleId="al">
    <w:name w:val="a_l"/>
    <w:basedOn w:val="a"/>
    <w:rsid w:val="0060194B"/>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094">
      <w:bodyDiv w:val="1"/>
      <w:marLeft w:val="0"/>
      <w:marRight w:val="0"/>
      <w:marTop w:val="0"/>
      <w:marBottom w:val="0"/>
      <w:divBdr>
        <w:top w:val="none" w:sz="0" w:space="0" w:color="auto"/>
        <w:left w:val="none" w:sz="0" w:space="0" w:color="auto"/>
        <w:bottom w:val="none" w:sz="0" w:space="0" w:color="auto"/>
        <w:right w:val="none" w:sz="0" w:space="0" w:color="auto"/>
      </w:divBdr>
    </w:div>
    <w:div w:id="322702358">
      <w:bodyDiv w:val="1"/>
      <w:marLeft w:val="0"/>
      <w:marRight w:val="0"/>
      <w:marTop w:val="0"/>
      <w:marBottom w:val="0"/>
      <w:divBdr>
        <w:top w:val="none" w:sz="0" w:space="0" w:color="auto"/>
        <w:left w:val="none" w:sz="0" w:space="0" w:color="auto"/>
        <w:bottom w:val="none" w:sz="0" w:space="0" w:color="auto"/>
        <w:right w:val="none" w:sz="0" w:space="0" w:color="auto"/>
      </w:divBdr>
    </w:div>
    <w:div w:id="370999796">
      <w:bodyDiv w:val="1"/>
      <w:marLeft w:val="0"/>
      <w:marRight w:val="0"/>
      <w:marTop w:val="0"/>
      <w:marBottom w:val="0"/>
      <w:divBdr>
        <w:top w:val="none" w:sz="0" w:space="0" w:color="auto"/>
        <w:left w:val="none" w:sz="0" w:space="0" w:color="auto"/>
        <w:bottom w:val="none" w:sz="0" w:space="0" w:color="auto"/>
        <w:right w:val="none" w:sz="0" w:space="0" w:color="auto"/>
      </w:divBdr>
    </w:div>
    <w:div w:id="498666241">
      <w:bodyDiv w:val="1"/>
      <w:marLeft w:val="0"/>
      <w:marRight w:val="0"/>
      <w:marTop w:val="0"/>
      <w:marBottom w:val="0"/>
      <w:divBdr>
        <w:top w:val="none" w:sz="0" w:space="0" w:color="auto"/>
        <w:left w:val="none" w:sz="0" w:space="0" w:color="auto"/>
        <w:bottom w:val="none" w:sz="0" w:space="0" w:color="auto"/>
        <w:right w:val="none" w:sz="0" w:space="0" w:color="auto"/>
      </w:divBdr>
      <w:divsChild>
        <w:div w:id="375084095">
          <w:marLeft w:val="547"/>
          <w:marRight w:val="0"/>
          <w:marTop w:val="0"/>
          <w:marBottom w:val="0"/>
          <w:divBdr>
            <w:top w:val="none" w:sz="0" w:space="0" w:color="auto"/>
            <w:left w:val="none" w:sz="0" w:space="0" w:color="auto"/>
            <w:bottom w:val="none" w:sz="0" w:space="0" w:color="auto"/>
            <w:right w:val="none" w:sz="0" w:space="0" w:color="auto"/>
          </w:divBdr>
        </w:div>
      </w:divsChild>
    </w:div>
    <w:div w:id="500513877">
      <w:bodyDiv w:val="1"/>
      <w:marLeft w:val="0"/>
      <w:marRight w:val="0"/>
      <w:marTop w:val="0"/>
      <w:marBottom w:val="0"/>
      <w:divBdr>
        <w:top w:val="none" w:sz="0" w:space="0" w:color="auto"/>
        <w:left w:val="none" w:sz="0" w:space="0" w:color="auto"/>
        <w:bottom w:val="none" w:sz="0" w:space="0" w:color="auto"/>
        <w:right w:val="none" w:sz="0" w:space="0" w:color="auto"/>
      </w:divBdr>
    </w:div>
    <w:div w:id="597912881">
      <w:bodyDiv w:val="1"/>
      <w:marLeft w:val="0"/>
      <w:marRight w:val="0"/>
      <w:marTop w:val="0"/>
      <w:marBottom w:val="0"/>
      <w:divBdr>
        <w:top w:val="none" w:sz="0" w:space="0" w:color="auto"/>
        <w:left w:val="none" w:sz="0" w:space="0" w:color="auto"/>
        <w:bottom w:val="none" w:sz="0" w:space="0" w:color="auto"/>
        <w:right w:val="none" w:sz="0" w:space="0" w:color="auto"/>
      </w:divBdr>
    </w:div>
    <w:div w:id="1228766414">
      <w:bodyDiv w:val="1"/>
      <w:marLeft w:val="0"/>
      <w:marRight w:val="0"/>
      <w:marTop w:val="0"/>
      <w:marBottom w:val="0"/>
      <w:divBdr>
        <w:top w:val="none" w:sz="0" w:space="0" w:color="auto"/>
        <w:left w:val="none" w:sz="0" w:space="0" w:color="auto"/>
        <w:bottom w:val="none" w:sz="0" w:space="0" w:color="auto"/>
        <w:right w:val="none" w:sz="0" w:space="0" w:color="auto"/>
      </w:divBdr>
    </w:div>
    <w:div w:id="1340083841">
      <w:bodyDiv w:val="1"/>
      <w:marLeft w:val="0"/>
      <w:marRight w:val="0"/>
      <w:marTop w:val="0"/>
      <w:marBottom w:val="0"/>
      <w:divBdr>
        <w:top w:val="none" w:sz="0" w:space="0" w:color="auto"/>
        <w:left w:val="none" w:sz="0" w:space="0" w:color="auto"/>
        <w:bottom w:val="none" w:sz="0" w:space="0" w:color="auto"/>
        <w:right w:val="none" w:sz="0" w:space="0" w:color="auto"/>
      </w:divBdr>
      <w:divsChild>
        <w:div w:id="1434324358">
          <w:marLeft w:val="547"/>
          <w:marRight w:val="0"/>
          <w:marTop w:val="0"/>
          <w:marBottom w:val="0"/>
          <w:divBdr>
            <w:top w:val="none" w:sz="0" w:space="0" w:color="auto"/>
            <w:left w:val="none" w:sz="0" w:space="0" w:color="auto"/>
            <w:bottom w:val="none" w:sz="0" w:space="0" w:color="auto"/>
            <w:right w:val="none" w:sz="0" w:space="0" w:color="auto"/>
          </w:divBdr>
        </w:div>
      </w:divsChild>
    </w:div>
    <w:div w:id="1854414912">
      <w:bodyDiv w:val="1"/>
      <w:marLeft w:val="0"/>
      <w:marRight w:val="0"/>
      <w:marTop w:val="0"/>
      <w:marBottom w:val="0"/>
      <w:divBdr>
        <w:top w:val="none" w:sz="0" w:space="0" w:color="auto"/>
        <w:left w:val="none" w:sz="0" w:space="0" w:color="auto"/>
        <w:bottom w:val="none" w:sz="0" w:space="0" w:color="auto"/>
        <w:right w:val="none" w:sz="0" w:space="0" w:color="auto"/>
      </w:divBdr>
    </w:div>
    <w:div w:id="18851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1793</Words>
  <Characters>10223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2</cp:revision>
  <dcterms:created xsi:type="dcterms:W3CDTF">2021-12-03T14:26:00Z</dcterms:created>
  <dcterms:modified xsi:type="dcterms:W3CDTF">2021-12-03T14:26:00Z</dcterms:modified>
</cp:coreProperties>
</file>