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D1" w:rsidRPr="00F55E6D" w:rsidRDefault="00CD123E" w:rsidP="00CD123E">
      <w:pPr>
        <w:jc w:val="center"/>
        <w:rPr>
          <w:sz w:val="24"/>
          <w:szCs w:val="24"/>
          <w:lang w:val="en-US"/>
        </w:rPr>
      </w:pPr>
      <w:proofErr w:type="spellStart"/>
      <w:r w:rsidRPr="00F55E6D">
        <w:rPr>
          <w:b/>
          <w:sz w:val="24"/>
          <w:szCs w:val="24"/>
          <w:lang w:val="en-US"/>
        </w:rPr>
        <w:t>Tema</w:t>
      </w:r>
      <w:proofErr w:type="spellEnd"/>
      <w:r w:rsidRPr="00F55E6D">
        <w:rPr>
          <w:b/>
          <w:sz w:val="24"/>
          <w:szCs w:val="24"/>
          <w:lang w:val="en-US"/>
        </w:rPr>
        <w:t xml:space="preserve"> 1: </w:t>
      </w:r>
      <w:proofErr w:type="spellStart"/>
      <w:r w:rsidR="00DB5DD1" w:rsidRPr="00F55E6D">
        <w:rPr>
          <w:b/>
          <w:sz w:val="24"/>
          <w:szCs w:val="24"/>
          <w:lang w:val="en-US"/>
        </w:rPr>
        <w:t>CtEDO</w:t>
      </w:r>
      <w:proofErr w:type="spellEnd"/>
      <w:r w:rsidR="00DB5DD1" w:rsidRPr="00F55E6D">
        <w:rPr>
          <w:b/>
          <w:sz w:val="24"/>
          <w:szCs w:val="24"/>
          <w:lang w:val="en-US"/>
        </w:rPr>
        <w:t xml:space="preserve">. </w:t>
      </w:r>
      <w:proofErr w:type="spellStart"/>
      <w:proofErr w:type="gramStart"/>
      <w:r w:rsidR="00DB5DD1" w:rsidRPr="00F55E6D">
        <w:rPr>
          <w:b/>
          <w:sz w:val="24"/>
          <w:szCs w:val="24"/>
          <w:lang w:val="en-US"/>
        </w:rPr>
        <w:t>Istoric</w:t>
      </w:r>
      <w:proofErr w:type="spellEnd"/>
      <w:r w:rsidR="00DB5DD1" w:rsidRPr="00F55E6D">
        <w:rPr>
          <w:b/>
          <w:sz w:val="24"/>
          <w:szCs w:val="24"/>
          <w:lang w:val="en-US"/>
        </w:rPr>
        <w:t>.</w:t>
      </w:r>
      <w:proofErr w:type="gramEnd"/>
      <w:r w:rsidR="00DB5DD1" w:rsidRPr="00F55E6D">
        <w:rPr>
          <w:b/>
          <w:sz w:val="24"/>
          <w:szCs w:val="24"/>
          <w:lang w:val="en-US"/>
        </w:rPr>
        <w:t xml:space="preserve"> </w:t>
      </w:r>
      <w:proofErr w:type="spellStart"/>
      <w:proofErr w:type="gramStart"/>
      <w:r w:rsidR="00DB5DD1" w:rsidRPr="00F55E6D">
        <w:rPr>
          <w:b/>
          <w:sz w:val="24"/>
          <w:szCs w:val="24"/>
          <w:lang w:val="en-US"/>
        </w:rPr>
        <w:t>Generalități</w:t>
      </w:r>
      <w:proofErr w:type="spellEnd"/>
      <w:r w:rsidR="00DB5DD1" w:rsidRPr="00F55E6D">
        <w:rPr>
          <w:sz w:val="24"/>
          <w:szCs w:val="24"/>
          <w:lang w:val="en-US"/>
        </w:rPr>
        <w:t>.</w:t>
      </w:r>
      <w:proofErr w:type="gramEnd"/>
    </w:p>
    <w:p w:rsidR="00DB5DD1" w:rsidRPr="00F55E6D" w:rsidRDefault="00DB5DD1" w:rsidP="006B321B">
      <w:pPr>
        <w:pStyle w:val="a3"/>
        <w:numPr>
          <w:ilvl w:val="0"/>
          <w:numId w:val="1"/>
        </w:numPr>
        <w:spacing w:after="240"/>
        <w:ind w:left="0" w:firstLine="357"/>
        <w:rPr>
          <w:sz w:val="24"/>
          <w:szCs w:val="24"/>
          <w:lang w:val="fr-FR"/>
        </w:rPr>
      </w:pPr>
      <w:r w:rsidRPr="00F55E6D">
        <w:rPr>
          <w:sz w:val="24"/>
          <w:szCs w:val="24"/>
          <w:lang w:val="fr-FR"/>
        </w:rPr>
        <w:t>CEDO a fost elaborată după imediata terminare a celui IIRM și Holocaustului, de aceea ea afost concepută ca un ”</w:t>
      </w:r>
      <w:r w:rsidRPr="00F55E6D">
        <w:rPr>
          <w:b/>
          <w:sz w:val="24"/>
          <w:szCs w:val="24"/>
          <w:lang w:val="fr-FR"/>
        </w:rPr>
        <w:t>sistem de alertă timpurie</w:t>
      </w:r>
      <w:r w:rsidRPr="00F55E6D">
        <w:rPr>
          <w:sz w:val="24"/>
          <w:szCs w:val="24"/>
          <w:lang w:val="fr-FR"/>
        </w:rPr>
        <w:t xml:space="preserve">” </w:t>
      </w:r>
      <w:r w:rsidRPr="00F55E6D">
        <w:rPr>
          <w:sz w:val="24"/>
          <w:szCs w:val="24"/>
          <w:u w:val="single"/>
          <w:lang w:val="fr-FR"/>
        </w:rPr>
        <w:t>pentru a preveni statele de a cădea în totalitarism</w:t>
      </w:r>
      <w:r w:rsidRPr="00F55E6D">
        <w:rPr>
          <w:sz w:val="24"/>
          <w:szCs w:val="24"/>
          <w:lang w:val="fr-FR"/>
        </w:rPr>
        <w:t xml:space="preserve">. </w:t>
      </w:r>
    </w:p>
    <w:p w:rsidR="00DB5DD1" w:rsidRPr="00F55E6D" w:rsidRDefault="00DB5DD1" w:rsidP="00B425EB">
      <w:pPr>
        <w:pStyle w:val="a3"/>
        <w:numPr>
          <w:ilvl w:val="0"/>
          <w:numId w:val="1"/>
        </w:numPr>
        <w:spacing w:after="240"/>
        <w:ind w:left="714" w:hanging="357"/>
        <w:rPr>
          <w:sz w:val="24"/>
          <w:szCs w:val="24"/>
          <w:lang w:val="fr-FR"/>
        </w:rPr>
      </w:pPr>
      <w:r w:rsidRPr="00F55E6D">
        <w:rPr>
          <w:sz w:val="24"/>
          <w:szCs w:val="24"/>
          <w:lang w:val="fr-FR"/>
        </w:rPr>
        <w:t xml:space="preserve">CEDO prevede un șir de </w:t>
      </w:r>
      <w:r w:rsidRPr="00F55E6D">
        <w:rPr>
          <w:b/>
          <w:sz w:val="24"/>
          <w:szCs w:val="24"/>
          <w:lang w:val="fr-FR"/>
        </w:rPr>
        <w:t>drepturi și libertăți</w:t>
      </w:r>
      <w:r w:rsidRPr="00F55E6D">
        <w:rPr>
          <w:sz w:val="24"/>
          <w:szCs w:val="24"/>
          <w:lang w:val="fr-FR"/>
        </w:rPr>
        <w:t xml:space="preserve"> fundamentale pe care Statele trebuie să le garanteze fiecăruia care se află în </w:t>
      </w:r>
      <w:r w:rsidRPr="00F55E6D">
        <w:rPr>
          <w:b/>
          <w:sz w:val="24"/>
          <w:szCs w:val="24"/>
          <w:lang w:val="fr-FR"/>
        </w:rPr>
        <w:t>jurisdicția</w:t>
      </w:r>
      <w:r w:rsidRPr="00F55E6D">
        <w:rPr>
          <w:sz w:val="24"/>
          <w:szCs w:val="24"/>
          <w:lang w:val="fr-FR"/>
        </w:rPr>
        <w:t xml:space="preserve"> sa.</w:t>
      </w:r>
    </w:p>
    <w:p w:rsidR="00DB5DD1" w:rsidRPr="00F55E6D" w:rsidRDefault="00DB5DD1" w:rsidP="00B425EB">
      <w:pPr>
        <w:pStyle w:val="a3"/>
        <w:numPr>
          <w:ilvl w:val="0"/>
          <w:numId w:val="1"/>
        </w:numPr>
        <w:spacing w:after="240"/>
        <w:ind w:left="714" w:hanging="357"/>
        <w:rPr>
          <w:sz w:val="24"/>
          <w:szCs w:val="24"/>
          <w:lang w:val="fr-FR"/>
        </w:rPr>
      </w:pPr>
      <w:r w:rsidRPr="00F55E6D">
        <w:rPr>
          <w:sz w:val="24"/>
          <w:szCs w:val="24"/>
          <w:lang w:val="fr-FR"/>
        </w:rPr>
        <w:t>Șirul de drepturi și libertăți din CEDO sunt mai restrânse decât unele Constituții (Constituția RM – acces la funcții publice, dreptul la pensii).</w:t>
      </w:r>
    </w:p>
    <w:p w:rsidR="00DB5DD1" w:rsidRPr="00F55E6D" w:rsidRDefault="00DB5DD1" w:rsidP="00B425EB">
      <w:pPr>
        <w:pStyle w:val="a3"/>
        <w:numPr>
          <w:ilvl w:val="0"/>
          <w:numId w:val="1"/>
        </w:numPr>
        <w:spacing w:after="240"/>
        <w:ind w:left="714" w:hanging="357"/>
        <w:rPr>
          <w:sz w:val="24"/>
          <w:szCs w:val="24"/>
          <w:lang w:val="fr-FR"/>
        </w:rPr>
      </w:pPr>
      <w:r w:rsidRPr="00F55E6D">
        <w:rPr>
          <w:sz w:val="24"/>
          <w:szCs w:val="24"/>
          <w:lang w:val="fr-FR"/>
        </w:rPr>
        <w:t>Jurisdicția – teritoriul Statului și alte zone aflate sub controlul general și efectiv al statului sau agenți ai statului (</w:t>
      </w:r>
      <w:r w:rsidRPr="00F55E6D">
        <w:rPr>
          <w:i/>
          <w:sz w:val="24"/>
          <w:szCs w:val="24"/>
          <w:lang w:val="fr-FR"/>
        </w:rPr>
        <w:t>Ilascu v. Moldova și Federația Rusă, Catan și alții, Hassan v. UK</w:t>
      </w:r>
      <w:r w:rsidRPr="00F55E6D">
        <w:rPr>
          <w:sz w:val="24"/>
          <w:szCs w:val="24"/>
          <w:lang w:val="fr-FR"/>
        </w:rPr>
        <w:t>).</w:t>
      </w:r>
    </w:p>
    <w:p w:rsidR="00DB5DD1" w:rsidRPr="00F55E6D" w:rsidRDefault="00DB5DD1" w:rsidP="00B425EB">
      <w:pPr>
        <w:pStyle w:val="a3"/>
        <w:numPr>
          <w:ilvl w:val="0"/>
          <w:numId w:val="1"/>
        </w:numPr>
        <w:spacing w:after="240"/>
        <w:ind w:left="714" w:hanging="357"/>
        <w:rPr>
          <w:sz w:val="24"/>
          <w:szCs w:val="24"/>
          <w:lang w:val="en-US"/>
        </w:rPr>
      </w:pPr>
      <w:r w:rsidRPr="00F55E6D">
        <w:rPr>
          <w:sz w:val="24"/>
          <w:szCs w:val="24"/>
          <w:lang w:val="fr-FR"/>
        </w:rPr>
        <w:t xml:space="preserve">CEDO </w:t>
      </w:r>
      <w:r w:rsidR="00B425EB" w:rsidRPr="00F55E6D">
        <w:rPr>
          <w:sz w:val="24"/>
          <w:szCs w:val="24"/>
          <w:lang w:val="fr-FR"/>
        </w:rPr>
        <w:t xml:space="preserve">este dotată cu un </w:t>
      </w:r>
      <w:r w:rsidR="00B425EB" w:rsidRPr="00F55E6D">
        <w:rPr>
          <w:b/>
          <w:sz w:val="24"/>
          <w:szCs w:val="24"/>
          <w:lang w:val="fr-FR"/>
        </w:rPr>
        <w:t>mechanism judiciar de obligare de respectare a drepturilor omului</w:t>
      </w:r>
      <w:r w:rsidR="00B425EB" w:rsidRPr="00F55E6D">
        <w:rPr>
          <w:sz w:val="24"/>
          <w:szCs w:val="24"/>
          <w:lang w:val="fr-FR"/>
        </w:rPr>
        <w:t xml:space="preserve">. Nu este posibil de a </w:t>
      </w:r>
      <w:r w:rsidR="0024205C" w:rsidRPr="00F55E6D">
        <w:rPr>
          <w:sz w:val="24"/>
          <w:szCs w:val="24"/>
          <w:lang w:val="fr-FR"/>
        </w:rPr>
        <w:t>semna/</w:t>
      </w:r>
      <w:r w:rsidR="00B425EB" w:rsidRPr="00F55E6D">
        <w:rPr>
          <w:sz w:val="24"/>
          <w:szCs w:val="24"/>
          <w:lang w:val="fr-FR"/>
        </w:rPr>
        <w:t>ratifica CEDO</w:t>
      </w:r>
      <w:r w:rsidR="0024205C" w:rsidRPr="00F55E6D">
        <w:rPr>
          <w:sz w:val="24"/>
          <w:szCs w:val="24"/>
          <w:lang w:val="fr-FR"/>
        </w:rPr>
        <w:t xml:space="preserve"> (art.59 semnare și ratificare)</w:t>
      </w:r>
      <w:r w:rsidR="00B425EB" w:rsidRPr="00F55E6D">
        <w:rPr>
          <w:sz w:val="24"/>
          <w:szCs w:val="24"/>
          <w:lang w:val="fr-FR"/>
        </w:rPr>
        <w:t xml:space="preserve">, de a face parte din CoE și de a nu recunoaște jurisdicția CtEDO. </w:t>
      </w:r>
      <w:proofErr w:type="spellStart"/>
      <w:r w:rsidR="0024205C" w:rsidRPr="00F55E6D">
        <w:rPr>
          <w:sz w:val="24"/>
          <w:szCs w:val="24"/>
          <w:lang w:val="en-US"/>
        </w:rPr>
        <w:t>Statele</w:t>
      </w:r>
      <w:proofErr w:type="spellEnd"/>
      <w:r w:rsidR="0024205C" w:rsidRPr="00F55E6D">
        <w:rPr>
          <w:sz w:val="24"/>
          <w:szCs w:val="24"/>
          <w:lang w:val="en-US"/>
        </w:rPr>
        <w:t xml:space="preserve"> </w:t>
      </w:r>
      <w:proofErr w:type="spellStart"/>
      <w:r w:rsidR="0024205C" w:rsidRPr="00F55E6D">
        <w:rPr>
          <w:sz w:val="24"/>
          <w:szCs w:val="24"/>
          <w:lang w:val="en-US"/>
        </w:rPr>
        <w:t>membre</w:t>
      </w:r>
      <w:proofErr w:type="spellEnd"/>
      <w:r w:rsidR="0024205C" w:rsidRPr="00F55E6D">
        <w:rPr>
          <w:sz w:val="24"/>
          <w:szCs w:val="24"/>
          <w:lang w:val="en-US"/>
        </w:rPr>
        <w:t xml:space="preserve">. UE </w:t>
      </w:r>
      <w:proofErr w:type="spellStart"/>
      <w:r w:rsidR="0024205C" w:rsidRPr="00F55E6D">
        <w:rPr>
          <w:sz w:val="24"/>
          <w:szCs w:val="24"/>
          <w:lang w:val="en-US"/>
        </w:rPr>
        <w:t>și</w:t>
      </w:r>
      <w:proofErr w:type="spellEnd"/>
      <w:r w:rsidR="0024205C" w:rsidRPr="00F55E6D">
        <w:rPr>
          <w:sz w:val="24"/>
          <w:szCs w:val="24"/>
          <w:lang w:val="en-US"/>
        </w:rPr>
        <w:t xml:space="preserve"> CEDO art.59 al.2.</w:t>
      </w:r>
    </w:p>
    <w:p w:rsidR="006D01C4" w:rsidRPr="00F55E6D" w:rsidRDefault="006D01C4" w:rsidP="00B425EB">
      <w:pPr>
        <w:pStyle w:val="a3"/>
        <w:numPr>
          <w:ilvl w:val="0"/>
          <w:numId w:val="1"/>
        </w:numPr>
        <w:spacing w:after="240"/>
        <w:ind w:left="714" w:hanging="357"/>
        <w:rPr>
          <w:sz w:val="24"/>
          <w:szCs w:val="24"/>
          <w:lang w:val="en-US"/>
        </w:rPr>
      </w:pPr>
      <w:proofErr w:type="spellStart"/>
      <w:r w:rsidRPr="00F55E6D">
        <w:rPr>
          <w:b/>
          <w:sz w:val="24"/>
          <w:szCs w:val="24"/>
          <w:lang w:val="en-US"/>
        </w:rPr>
        <w:t>Rezervele</w:t>
      </w:r>
      <w:proofErr w:type="spellEnd"/>
      <w:r w:rsidRPr="00F55E6D">
        <w:rPr>
          <w:b/>
          <w:sz w:val="24"/>
          <w:szCs w:val="24"/>
          <w:lang w:val="en-US"/>
        </w:rPr>
        <w:t xml:space="preserve"> </w:t>
      </w:r>
      <w:r w:rsidRPr="00F55E6D">
        <w:rPr>
          <w:sz w:val="24"/>
          <w:szCs w:val="24"/>
          <w:lang w:val="en-US"/>
        </w:rPr>
        <w:t>(art.57 CEDO)</w:t>
      </w:r>
      <w:r w:rsidRPr="00F55E6D">
        <w:rPr>
          <w:b/>
          <w:sz w:val="24"/>
          <w:szCs w:val="24"/>
          <w:lang w:val="en-US"/>
        </w:rPr>
        <w:t xml:space="preserve"> </w:t>
      </w:r>
      <w:proofErr w:type="spellStart"/>
      <w:r w:rsidRPr="00F55E6D">
        <w:rPr>
          <w:b/>
          <w:sz w:val="24"/>
          <w:szCs w:val="24"/>
          <w:lang w:val="en-US"/>
        </w:rPr>
        <w:t>și</w:t>
      </w:r>
      <w:proofErr w:type="spellEnd"/>
      <w:r w:rsidRPr="00F55E6D">
        <w:rPr>
          <w:b/>
          <w:sz w:val="24"/>
          <w:szCs w:val="24"/>
          <w:lang w:val="en-US"/>
        </w:rPr>
        <w:t xml:space="preserve"> </w:t>
      </w:r>
      <w:proofErr w:type="spellStart"/>
      <w:r w:rsidRPr="00F55E6D">
        <w:rPr>
          <w:b/>
          <w:sz w:val="24"/>
          <w:szCs w:val="24"/>
          <w:lang w:val="en-US"/>
        </w:rPr>
        <w:t>declarațiile</w:t>
      </w:r>
      <w:proofErr w:type="spellEnd"/>
      <w:r w:rsidRPr="00F55E6D">
        <w:rPr>
          <w:sz w:val="24"/>
          <w:szCs w:val="24"/>
          <w:lang w:val="en-US"/>
        </w:rPr>
        <w:t xml:space="preserve"> </w:t>
      </w:r>
      <w:proofErr w:type="spellStart"/>
      <w:r w:rsidRPr="00F55E6D">
        <w:rPr>
          <w:sz w:val="24"/>
          <w:szCs w:val="24"/>
          <w:lang w:val="en-US"/>
        </w:rPr>
        <w:t>făcute</w:t>
      </w:r>
      <w:proofErr w:type="spellEnd"/>
      <w:r w:rsidRPr="00F55E6D">
        <w:rPr>
          <w:sz w:val="24"/>
          <w:szCs w:val="24"/>
          <w:lang w:val="en-US"/>
        </w:rPr>
        <w:t xml:space="preserve"> la </w:t>
      </w:r>
      <w:proofErr w:type="spellStart"/>
      <w:r w:rsidRPr="00F55E6D">
        <w:rPr>
          <w:sz w:val="24"/>
          <w:szCs w:val="24"/>
          <w:lang w:val="en-US"/>
        </w:rPr>
        <w:t>ratificare</w:t>
      </w:r>
      <w:proofErr w:type="spellEnd"/>
      <w:r w:rsidRPr="00F55E6D">
        <w:rPr>
          <w:sz w:val="24"/>
          <w:szCs w:val="24"/>
          <w:lang w:val="en-US"/>
        </w:rPr>
        <w:t xml:space="preserve">. </w:t>
      </w:r>
      <w:proofErr w:type="spellStart"/>
      <w:r w:rsidRPr="00F55E6D">
        <w:rPr>
          <w:sz w:val="24"/>
          <w:szCs w:val="24"/>
          <w:lang w:val="en-US"/>
        </w:rPr>
        <w:t>Coraportul</w:t>
      </w:r>
      <w:proofErr w:type="spellEnd"/>
      <w:r w:rsidRPr="00F55E6D">
        <w:rPr>
          <w:sz w:val="24"/>
          <w:szCs w:val="24"/>
          <w:lang w:val="en-US"/>
        </w:rPr>
        <w:t xml:space="preserve"> cu </w:t>
      </w:r>
      <w:proofErr w:type="spellStart"/>
      <w:r w:rsidRPr="00F55E6D">
        <w:rPr>
          <w:sz w:val="24"/>
          <w:szCs w:val="24"/>
          <w:lang w:val="en-US"/>
        </w:rPr>
        <w:t>obligațiile</w:t>
      </w:r>
      <w:proofErr w:type="spellEnd"/>
      <w:r w:rsidRPr="00F55E6D">
        <w:rPr>
          <w:sz w:val="24"/>
          <w:szCs w:val="24"/>
          <w:lang w:val="en-US"/>
        </w:rPr>
        <w:t xml:space="preserve"> positive ( </w:t>
      </w:r>
      <w:proofErr w:type="spellStart"/>
      <w:r w:rsidRPr="00F55E6D">
        <w:rPr>
          <w:sz w:val="24"/>
          <w:szCs w:val="24"/>
          <w:lang w:val="en-US"/>
        </w:rPr>
        <w:t>cazul</w:t>
      </w:r>
      <w:proofErr w:type="spellEnd"/>
      <w:r w:rsidRPr="00F55E6D">
        <w:rPr>
          <w:sz w:val="24"/>
          <w:szCs w:val="24"/>
          <w:lang w:val="en-US"/>
        </w:rPr>
        <w:t xml:space="preserve"> RM - </w:t>
      </w:r>
      <w:proofErr w:type="spellStart"/>
      <w:r w:rsidRPr="00F55E6D">
        <w:rPr>
          <w:i/>
          <w:sz w:val="24"/>
          <w:szCs w:val="24"/>
          <w:lang w:val="en-US"/>
        </w:rPr>
        <w:t>Ilașcu</w:t>
      </w:r>
      <w:proofErr w:type="spellEnd"/>
      <w:r w:rsidRPr="00F55E6D">
        <w:rPr>
          <w:sz w:val="24"/>
          <w:szCs w:val="24"/>
          <w:lang w:val="en-US"/>
        </w:rPr>
        <w:t xml:space="preserve"> )</w:t>
      </w:r>
    </w:p>
    <w:p w:rsidR="00B425EB" w:rsidRPr="00F55E6D" w:rsidRDefault="00B425EB" w:rsidP="00B425EB">
      <w:pPr>
        <w:pStyle w:val="a3"/>
        <w:numPr>
          <w:ilvl w:val="0"/>
          <w:numId w:val="1"/>
        </w:numPr>
        <w:spacing w:after="240"/>
        <w:ind w:left="714" w:hanging="357"/>
        <w:rPr>
          <w:sz w:val="24"/>
          <w:szCs w:val="24"/>
          <w:lang w:val="en-US"/>
        </w:rPr>
      </w:pPr>
      <w:proofErr w:type="spellStart"/>
      <w:r w:rsidRPr="00F55E6D">
        <w:rPr>
          <w:sz w:val="24"/>
          <w:szCs w:val="24"/>
          <w:lang w:val="en-US"/>
        </w:rPr>
        <w:t>Meritele</w:t>
      </w:r>
      <w:proofErr w:type="spellEnd"/>
      <w:r w:rsidRPr="00F55E6D">
        <w:rPr>
          <w:sz w:val="24"/>
          <w:szCs w:val="24"/>
          <w:lang w:val="en-US"/>
        </w:rPr>
        <w:t xml:space="preserve"> CEDO: - </w:t>
      </w:r>
      <w:proofErr w:type="spellStart"/>
      <w:r w:rsidRPr="00F55E6D">
        <w:rPr>
          <w:sz w:val="24"/>
          <w:szCs w:val="24"/>
          <w:lang w:val="en-US"/>
        </w:rPr>
        <w:t>dezvoltarea</w:t>
      </w:r>
      <w:proofErr w:type="spellEnd"/>
      <w:r w:rsidRPr="00F55E6D">
        <w:rPr>
          <w:sz w:val="24"/>
          <w:szCs w:val="24"/>
          <w:lang w:val="en-US"/>
        </w:rPr>
        <w:t xml:space="preserve"> </w:t>
      </w:r>
      <w:proofErr w:type="spellStart"/>
      <w:r w:rsidRPr="00F55E6D">
        <w:rPr>
          <w:sz w:val="24"/>
          <w:szCs w:val="24"/>
          <w:lang w:val="en-US"/>
        </w:rPr>
        <w:t>unei</w:t>
      </w:r>
      <w:proofErr w:type="spellEnd"/>
      <w:r w:rsidRPr="00F55E6D">
        <w:rPr>
          <w:sz w:val="24"/>
          <w:szCs w:val="24"/>
          <w:lang w:val="en-US"/>
        </w:rPr>
        <w:t xml:space="preserve"> </w:t>
      </w:r>
      <w:proofErr w:type="spellStart"/>
      <w:r w:rsidRPr="00F55E6D">
        <w:rPr>
          <w:sz w:val="24"/>
          <w:szCs w:val="24"/>
          <w:lang w:val="en-US"/>
        </w:rPr>
        <w:t>jurisprudențe</w:t>
      </w:r>
      <w:proofErr w:type="spellEnd"/>
      <w:r w:rsidRPr="00F55E6D">
        <w:rPr>
          <w:sz w:val="24"/>
          <w:szCs w:val="24"/>
          <w:lang w:val="en-US"/>
        </w:rPr>
        <w:t xml:space="preserve"> </w:t>
      </w:r>
      <w:proofErr w:type="spellStart"/>
      <w:r w:rsidRPr="00F55E6D">
        <w:rPr>
          <w:sz w:val="24"/>
          <w:szCs w:val="24"/>
          <w:lang w:val="en-US"/>
        </w:rPr>
        <w:t>consistente</w:t>
      </w:r>
      <w:proofErr w:type="spellEnd"/>
      <w:r w:rsidRPr="00F55E6D">
        <w:rPr>
          <w:sz w:val="24"/>
          <w:szCs w:val="24"/>
          <w:lang w:val="en-US"/>
        </w:rPr>
        <w:t xml:space="preserve"> </w:t>
      </w:r>
      <w:proofErr w:type="spellStart"/>
      <w:r w:rsidRPr="00F55E6D">
        <w:rPr>
          <w:sz w:val="24"/>
          <w:szCs w:val="24"/>
          <w:lang w:val="en-US"/>
        </w:rPr>
        <w:t>în</w:t>
      </w:r>
      <w:proofErr w:type="spellEnd"/>
      <w:r w:rsidRPr="00F55E6D">
        <w:rPr>
          <w:sz w:val="24"/>
          <w:szCs w:val="24"/>
          <w:lang w:val="en-US"/>
        </w:rPr>
        <w:t xml:space="preserve"> material </w:t>
      </w:r>
      <w:proofErr w:type="spellStart"/>
      <w:r w:rsidRPr="00F55E6D">
        <w:rPr>
          <w:sz w:val="24"/>
          <w:szCs w:val="24"/>
          <w:lang w:val="en-US"/>
        </w:rPr>
        <w:t>drepturilor</w:t>
      </w:r>
      <w:proofErr w:type="spellEnd"/>
      <w:r w:rsidRPr="00F55E6D">
        <w:rPr>
          <w:sz w:val="24"/>
          <w:szCs w:val="24"/>
          <w:lang w:val="en-US"/>
        </w:rPr>
        <w:t xml:space="preserve"> </w:t>
      </w:r>
      <w:proofErr w:type="spellStart"/>
      <w:r w:rsidRPr="00F55E6D">
        <w:rPr>
          <w:sz w:val="24"/>
          <w:szCs w:val="24"/>
          <w:lang w:val="en-US"/>
        </w:rPr>
        <w:t>omului</w:t>
      </w:r>
      <w:proofErr w:type="spellEnd"/>
      <w:r w:rsidRPr="00F55E6D">
        <w:rPr>
          <w:sz w:val="24"/>
          <w:szCs w:val="24"/>
          <w:lang w:val="en-US"/>
        </w:rPr>
        <w:t>,</w:t>
      </w:r>
    </w:p>
    <w:p w:rsidR="00B425EB" w:rsidRPr="00F55E6D" w:rsidRDefault="00B425EB" w:rsidP="00B425EB">
      <w:pPr>
        <w:pStyle w:val="a3"/>
        <w:numPr>
          <w:ilvl w:val="0"/>
          <w:numId w:val="2"/>
        </w:numPr>
        <w:rPr>
          <w:sz w:val="24"/>
          <w:szCs w:val="24"/>
          <w:lang w:val="en-US"/>
        </w:rPr>
      </w:pPr>
      <w:proofErr w:type="spellStart"/>
      <w:r w:rsidRPr="00F55E6D">
        <w:rPr>
          <w:sz w:val="24"/>
          <w:szCs w:val="24"/>
          <w:lang w:val="en-US"/>
        </w:rPr>
        <w:t>Susținerea</w:t>
      </w:r>
      <w:proofErr w:type="spellEnd"/>
      <w:r w:rsidRPr="00F55E6D">
        <w:rPr>
          <w:sz w:val="24"/>
          <w:szCs w:val="24"/>
          <w:lang w:val="en-US"/>
        </w:rPr>
        <w:t xml:space="preserve"> </w:t>
      </w:r>
      <w:proofErr w:type="spellStart"/>
      <w:r w:rsidRPr="00F55E6D">
        <w:rPr>
          <w:sz w:val="24"/>
          <w:szCs w:val="24"/>
          <w:lang w:val="en-US"/>
        </w:rPr>
        <w:t>tinerelor</w:t>
      </w:r>
      <w:proofErr w:type="spellEnd"/>
      <w:r w:rsidRPr="00F55E6D">
        <w:rPr>
          <w:sz w:val="24"/>
          <w:szCs w:val="24"/>
          <w:lang w:val="en-US"/>
        </w:rPr>
        <w:t xml:space="preserve"> </w:t>
      </w:r>
      <w:proofErr w:type="spellStart"/>
      <w:r w:rsidRPr="00F55E6D">
        <w:rPr>
          <w:sz w:val="24"/>
          <w:szCs w:val="24"/>
          <w:lang w:val="en-US"/>
        </w:rPr>
        <w:t>democrații</w:t>
      </w:r>
      <w:proofErr w:type="spellEnd"/>
      <w:r w:rsidRPr="00F55E6D">
        <w:rPr>
          <w:sz w:val="24"/>
          <w:szCs w:val="24"/>
          <w:lang w:val="en-US"/>
        </w:rPr>
        <w:t xml:space="preserve">, </w:t>
      </w:r>
      <w:proofErr w:type="spellStart"/>
      <w:r w:rsidRPr="00F55E6D">
        <w:rPr>
          <w:sz w:val="24"/>
          <w:szCs w:val="24"/>
          <w:lang w:val="en-US"/>
        </w:rPr>
        <w:t>promovarea</w:t>
      </w:r>
      <w:proofErr w:type="spellEnd"/>
      <w:r w:rsidRPr="00F55E6D">
        <w:rPr>
          <w:sz w:val="24"/>
          <w:szCs w:val="24"/>
          <w:lang w:val="en-US"/>
        </w:rPr>
        <w:t xml:space="preserve"> </w:t>
      </w:r>
      <w:proofErr w:type="spellStart"/>
      <w:r w:rsidRPr="00F55E6D">
        <w:rPr>
          <w:sz w:val="24"/>
          <w:szCs w:val="24"/>
          <w:lang w:val="en-US"/>
        </w:rPr>
        <w:t>dreptului</w:t>
      </w:r>
      <w:proofErr w:type="spellEnd"/>
      <w:r w:rsidRPr="00F55E6D">
        <w:rPr>
          <w:sz w:val="24"/>
          <w:szCs w:val="24"/>
          <w:lang w:val="en-US"/>
        </w:rPr>
        <w:t xml:space="preserve"> la </w:t>
      </w:r>
      <w:proofErr w:type="spellStart"/>
      <w:r w:rsidRPr="00F55E6D">
        <w:rPr>
          <w:sz w:val="24"/>
          <w:szCs w:val="24"/>
          <w:lang w:val="en-US"/>
        </w:rPr>
        <w:t>cerere</w:t>
      </w:r>
      <w:proofErr w:type="spellEnd"/>
      <w:r w:rsidRPr="00F55E6D">
        <w:rPr>
          <w:sz w:val="24"/>
          <w:szCs w:val="24"/>
          <w:lang w:val="en-US"/>
        </w:rPr>
        <w:t xml:space="preserve"> individual, </w:t>
      </w:r>
      <w:proofErr w:type="spellStart"/>
      <w:r w:rsidRPr="00F55E6D">
        <w:rPr>
          <w:sz w:val="24"/>
          <w:szCs w:val="24"/>
          <w:lang w:val="en-US"/>
        </w:rPr>
        <w:t>apăcii</w:t>
      </w:r>
      <w:proofErr w:type="spellEnd"/>
      <w:r w:rsidRPr="00F55E6D">
        <w:rPr>
          <w:sz w:val="24"/>
          <w:szCs w:val="24"/>
          <w:lang w:val="en-US"/>
        </w:rPr>
        <w:t xml:space="preserve"> </w:t>
      </w:r>
      <w:proofErr w:type="spellStart"/>
      <w:r w:rsidRPr="00F55E6D">
        <w:rPr>
          <w:sz w:val="24"/>
          <w:szCs w:val="24"/>
          <w:lang w:val="en-US"/>
        </w:rPr>
        <w:t>și</w:t>
      </w:r>
      <w:proofErr w:type="spellEnd"/>
      <w:r w:rsidRPr="00F55E6D">
        <w:rPr>
          <w:sz w:val="24"/>
          <w:szCs w:val="24"/>
          <w:lang w:val="en-US"/>
        </w:rPr>
        <w:t xml:space="preserve"> </w:t>
      </w:r>
      <w:proofErr w:type="spellStart"/>
      <w:r w:rsidRPr="00F55E6D">
        <w:rPr>
          <w:sz w:val="24"/>
          <w:szCs w:val="24"/>
          <w:lang w:val="en-US"/>
        </w:rPr>
        <w:t>stabilității</w:t>
      </w:r>
      <w:proofErr w:type="spellEnd"/>
      <w:r w:rsidRPr="00F55E6D">
        <w:rPr>
          <w:sz w:val="24"/>
          <w:szCs w:val="24"/>
          <w:lang w:val="en-US"/>
        </w:rPr>
        <w:t xml:space="preserve"> </w:t>
      </w:r>
      <w:proofErr w:type="spellStart"/>
      <w:r w:rsidRPr="00F55E6D">
        <w:rPr>
          <w:sz w:val="24"/>
          <w:szCs w:val="24"/>
          <w:lang w:val="en-US"/>
        </w:rPr>
        <w:t>în</w:t>
      </w:r>
      <w:proofErr w:type="spellEnd"/>
      <w:r w:rsidRPr="00F55E6D">
        <w:rPr>
          <w:sz w:val="24"/>
          <w:szCs w:val="24"/>
          <w:lang w:val="en-US"/>
        </w:rPr>
        <w:t xml:space="preserve"> Europa.</w:t>
      </w:r>
    </w:p>
    <w:p w:rsidR="00FE6C32" w:rsidRPr="00F55E6D" w:rsidRDefault="00B425EB" w:rsidP="00B425EB">
      <w:pPr>
        <w:pStyle w:val="a3"/>
        <w:numPr>
          <w:ilvl w:val="0"/>
          <w:numId w:val="2"/>
        </w:numPr>
        <w:ind w:left="426"/>
        <w:rPr>
          <w:sz w:val="24"/>
          <w:szCs w:val="24"/>
          <w:lang w:val="en-US"/>
        </w:rPr>
      </w:pPr>
      <w:r w:rsidRPr="00F55E6D">
        <w:rPr>
          <w:sz w:val="24"/>
          <w:szCs w:val="24"/>
          <w:lang w:val="fr-FR"/>
        </w:rPr>
        <w:t xml:space="preserve">Problemele cu care se confruntă CtEDO – </w:t>
      </w:r>
      <w:r w:rsidR="006D01C4" w:rsidRPr="00F55E6D">
        <w:rPr>
          <w:b/>
          <w:sz w:val="24"/>
          <w:szCs w:val="24"/>
          <w:lang w:val="fr-FR"/>
        </w:rPr>
        <w:t>victima</w:t>
      </w:r>
      <w:r w:rsidRPr="00F55E6D">
        <w:rPr>
          <w:b/>
          <w:sz w:val="24"/>
          <w:szCs w:val="24"/>
          <w:lang w:val="fr-FR"/>
        </w:rPr>
        <w:t xml:space="preserve"> propriului să</w:t>
      </w:r>
      <w:r w:rsidR="006B321B" w:rsidRPr="00F55E6D">
        <w:rPr>
          <w:b/>
          <w:sz w:val="24"/>
          <w:szCs w:val="24"/>
          <w:lang w:val="fr-FR"/>
        </w:rPr>
        <w:t>u</w:t>
      </w:r>
      <w:r w:rsidRPr="00F55E6D">
        <w:rPr>
          <w:b/>
          <w:sz w:val="24"/>
          <w:szCs w:val="24"/>
          <w:lang w:val="fr-FR"/>
        </w:rPr>
        <w:t xml:space="preserve"> succes</w:t>
      </w:r>
      <w:r w:rsidRPr="00F55E6D">
        <w:rPr>
          <w:sz w:val="24"/>
          <w:szCs w:val="24"/>
          <w:lang w:val="fr-FR"/>
        </w:rPr>
        <w:t>. În 1981 –erau 404 cereri înregistrate la Curte, în 1997 – 4750, 2004 – 44.100 cereri și appr</w:t>
      </w:r>
      <w:r w:rsidR="00FE6C32" w:rsidRPr="00F55E6D">
        <w:rPr>
          <w:sz w:val="24"/>
          <w:szCs w:val="24"/>
          <w:lang w:val="fr-FR"/>
        </w:rPr>
        <w:t xml:space="preserve">ox. </w:t>
      </w:r>
      <w:r w:rsidR="00FE6C32" w:rsidRPr="00F55E6D">
        <w:rPr>
          <w:sz w:val="24"/>
          <w:szCs w:val="24"/>
          <w:lang w:val="en-US"/>
        </w:rPr>
        <w:t xml:space="preserve">1000 </w:t>
      </w:r>
      <w:proofErr w:type="spellStart"/>
      <w:r w:rsidR="00FE6C32" w:rsidRPr="00F55E6D">
        <w:rPr>
          <w:sz w:val="24"/>
          <w:szCs w:val="24"/>
          <w:lang w:val="en-US"/>
        </w:rPr>
        <w:t>cereri</w:t>
      </w:r>
      <w:proofErr w:type="spellEnd"/>
      <w:r w:rsidR="00FE6C32" w:rsidRPr="00F55E6D">
        <w:rPr>
          <w:sz w:val="24"/>
          <w:szCs w:val="24"/>
          <w:lang w:val="en-US"/>
        </w:rPr>
        <w:t xml:space="preserve"> </w:t>
      </w:r>
      <w:proofErr w:type="spellStart"/>
      <w:r w:rsidR="00FE6C32" w:rsidRPr="00F55E6D">
        <w:rPr>
          <w:sz w:val="24"/>
          <w:szCs w:val="24"/>
          <w:lang w:val="en-US"/>
        </w:rPr>
        <w:t>depuse</w:t>
      </w:r>
      <w:proofErr w:type="spellEnd"/>
      <w:r w:rsidR="00FE6C32" w:rsidRPr="00F55E6D">
        <w:rPr>
          <w:sz w:val="24"/>
          <w:szCs w:val="24"/>
          <w:lang w:val="en-US"/>
        </w:rPr>
        <w:t xml:space="preserve"> </w:t>
      </w:r>
      <w:proofErr w:type="spellStart"/>
      <w:r w:rsidR="00FE6C32" w:rsidRPr="00F55E6D">
        <w:rPr>
          <w:sz w:val="24"/>
          <w:szCs w:val="24"/>
          <w:lang w:val="en-US"/>
        </w:rPr>
        <w:t>pe</w:t>
      </w:r>
      <w:proofErr w:type="spellEnd"/>
      <w:r w:rsidR="00FE6C32" w:rsidRPr="00F55E6D">
        <w:rPr>
          <w:sz w:val="24"/>
          <w:szCs w:val="24"/>
          <w:lang w:val="en-US"/>
        </w:rPr>
        <w:t xml:space="preserve"> </w:t>
      </w:r>
      <w:proofErr w:type="spellStart"/>
      <w:proofErr w:type="gramStart"/>
      <w:r w:rsidR="00FE6C32" w:rsidRPr="00F55E6D">
        <w:rPr>
          <w:sz w:val="24"/>
          <w:szCs w:val="24"/>
          <w:lang w:val="en-US"/>
        </w:rPr>
        <w:t>lună</w:t>
      </w:r>
      <w:proofErr w:type="spellEnd"/>
      <w:r w:rsidR="00FE6C32" w:rsidRPr="00F55E6D">
        <w:rPr>
          <w:sz w:val="24"/>
          <w:szCs w:val="24"/>
          <w:lang w:val="en-US"/>
        </w:rPr>
        <w:t>,..</w:t>
      </w:r>
      <w:proofErr w:type="gramEnd"/>
      <w:r w:rsidR="00FE6C32" w:rsidRPr="00F55E6D">
        <w:rPr>
          <w:sz w:val="24"/>
          <w:szCs w:val="24"/>
          <w:lang w:val="en-US"/>
        </w:rPr>
        <w:t xml:space="preserve"> </w:t>
      </w:r>
      <w:proofErr w:type="spellStart"/>
      <w:r w:rsidR="00FE6C32" w:rsidRPr="00F55E6D">
        <w:rPr>
          <w:sz w:val="24"/>
          <w:szCs w:val="24"/>
          <w:lang w:val="en-US"/>
        </w:rPr>
        <w:t>Sursa</w:t>
      </w:r>
      <w:proofErr w:type="spellEnd"/>
      <w:r w:rsidR="00FE6C32" w:rsidRPr="00F55E6D">
        <w:rPr>
          <w:sz w:val="24"/>
          <w:szCs w:val="24"/>
          <w:lang w:val="en-US"/>
        </w:rPr>
        <w:t xml:space="preserve"> </w:t>
      </w:r>
      <w:proofErr w:type="spellStart"/>
      <w:r w:rsidR="00FE6C32" w:rsidRPr="00F55E6D">
        <w:rPr>
          <w:sz w:val="24"/>
          <w:szCs w:val="24"/>
          <w:lang w:val="en-US"/>
        </w:rPr>
        <w:t>problemelor</w:t>
      </w:r>
      <w:proofErr w:type="spellEnd"/>
      <w:r w:rsidR="00FE6C32" w:rsidRPr="00F55E6D">
        <w:rPr>
          <w:sz w:val="24"/>
          <w:szCs w:val="24"/>
          <w:lang w:val="en-US"/>
        </w:rPr>
        <w:t xml:space="preserve"> – </w:t>
      </w:r>
      <w:proofErr w:type="spellStart"/>
      <w:r w:rsidR="00FE6C32" w:rsidRPr="00F55E6D">
        <w:rPr>
          <w:sz w:val="24"/>
          <w:szCs w:val="24"/>
          <w:lang w:val="en-US"/>
        </w:rPr>
        <w:t>aderarea</w:t>
      </w:r>
      <w:proofErr w:type="spellEnd"/>
      <w:r w:rsidR="00FE6C32" w:rsidRPr="00F55E6D">
        <w:rPr>
          <w:sz w:val="24"/>
          <w:szCs w:val="24"/>
          <w:lang w:val="en-US"/>
        </w:rPr>
        <w:t xml:space="preserve"> </w:t>
      </w:r>
      <w:proofErr w:type="spellStart"/>
      <w:r w:rsidR="00FE6C32" w:rsidRPr="00F55E6D">
        <w:rPr>
          <w:sz w:val="24"/>
          <w:szCs w:val="24"/>
          <w:lang w:val="en-US"/>
        </w:rPr>
        <w:t>în</w:t>
      </w:r>
      <w:proofErr w:type="spellEnd"/>
      <w:r w:rsidR="00FE6C32" w:rsidRPr="00F55E6D">
        <w:rPr>
          <w:sz w:val="24"/>
          <w:szCs w:val="24"/>
          <w:lang w:val="en-US"/>
        </w:rPr>
        <w:t xml:space="preserve"> </w:t>
      </w:r>
      <w:proofErr w:type="spellStart"/>
      <w:r w:rsidR="00FE6C32" w:rsidRPr="00F55E6D">
        <w:rPr>
          <w:sz w:val="24"/>
          <w:szCs w:val="24"/>
          <w:lang w:val="en-US"/>
        </w:rPr>
        <w:t>anii</w:t>
      </w:r>
      <w:proofErr w:type="spellEnd"/>
      <w:r w:rsidR="00FE6C32" w:rsidRPr="00F55E6D">
        <w:rPr>
          <w:sz w:val="24"/>
          <w:szCs w:val="24"/>
          <w:lang w:val="en-US"/>
        </w:rPr>
        <w:t xml:space="preserve"> 90 a </w:t>
      </w:r>
      <w:proofErr w:type="spellStart"/>
      <w:r w:rsidR="00FE6C32" w:rsidRPr="00F55E6D">
        <w:rPr>
          <w:sz w:val="24"/>
          <w:szCs w:val="24"/>
          <w:lang w:val="en-US"/>
        </w:rPr>
        <w:t>noilor</w:t>
      </w:r>
      <w:proofErr w:type="spellEnd"/>
      <w:r w:rsidR="00FE6C32" w:rsidRPr="00F55E6D">
        <w:rPr>
          <w:sz w:val="24"/>
          <w:szCs w:val="24"/>
          <w:lang w:val="en-US"/>
        </w:rPr>
        <w:t xml:space="preserve"> state </w:t>
      </w:r>
      <w:proofErr w:type="spellStart"/>
      <w:r w:rsidR="00FE6C32" w:rsidRPr="00F55E6D">
        <w:rPr>
          <w:sz w:val="24"/>
          <w:szCs w:val="24"/>
          <w:lang w:val="en-US"/>
        </w:rPr>
        <w:t>fost</w:t>
      </w:r>
      <w:proofErr w:type="spellEnd"/>
      <w:r w:rsidR="00FE6C32" w:rsidRPr="00F55E6D">
        <w:rPr>
          <w:sz w:val="24"/>
          <w:szCs w:val="24"/>
          <w:lang w:val="en-US"/>
        </w:rPr>
        <w:t xml:space="preserve"> </w:t>
      </w:r>
      <w:proofErr w:type="spellStart"/>
      <w:r w:rsidR="00FE6C32" w:rsidRPr="00F55E6D">
        <w:rPr>
          <w:sz w:val="24"/>
          <w:szCs w:val="24"/>
          <w:lang w:val="en-US"/>
        </w:rPr>
        <w:t>socialiste</w:t>
      </w:r>
      <w:proofErr w:type="spellEnd"/>
      <w:r w:rsidR="00FE6C32" w:rsidRPr="00F55E6D">
        <w:rPr>
          <w:sz w:val="24"/>
          <w:szCs w:val="24"/>
          <w:lang w:val="en-US"/>
        </w:rPr>
        <w:t>.</w:t>
      </w:r>
    </w:p>
    <w:p w:rsidR="00FE6C32" w:rsidRPr="00F55E6D" w:rsidRDefault="00FE6C32" w:rsidP="00B425EB">
      <w:pPr>
        <w:pStyle w:val="a3"/>
        <w:numPr>
          <w:ilvl w:val="0"/>
          <w:numId w:val="2"/>
        </w:numPr>
        <w:ind w:left="426"/>
        <w:rPr>
          <w:sz w:val="24"/>
          <w:szCs w:val="24"/>
          <w:lang w:val="en-US"/>
        </w:rPr>
      </w:pPr>
      <w:proofErr w:type="spellStart"/>
      <w:r w:rsidRPr="00F55E6D">
        <w:rPr>
          <w:sz w:val="24"/>
          <w:szCs w:val="24"/>
          <w:lang w:val="en-US"/>
        </w:rPr>
        <w:t>CtEDO</w:t>
      </w:r>
      <w:proofErr w:type="spellEnd"/>
      <w:r w:rsidRPr="00F55E6D">
        <w:rPr>
          <w:sz w:val="24"/>
          <w:szCs w:val="24"/>
          <w:lang w:val="en-US"/>
        </w:rPr>
        <w:t xml:space="preserve"> </w:t>
      </w:r>
      <w:proofErr w:type="spellStart"/>
      <w:proofErr w:type="gramStart"/>
      <w:r w:rsidRPr="00F55E6D">
        <w:rPr>
          <w:sz w:val="24"/>
          <w:szCs w:val="24"/>
          <w:lang w:val="en-US"/>
        </w:rPr>
        <w:t>este</w:t>
      </w:r>
      <w:proofErr w:type="spellEnd"/>
      <w:proofErr w:type="gramEnd"/>
      <w:r w:rsidRPr="00F55E6D">
        <w:rPr>
          <w:sz w:val="24"/>
          <w:szCs w:val="24"/>
          <w:lang w:val="en-US"/>
        </w:rPr>
        <w:t xml:space="preserve"> un mechanism regional de </w:t>
      </w:r>
      <w:proofErr w:type="spellStart"/>
      <w:r w:rsidRPr="00F55E6D">
        <w:rPr>
          <w:sz w:val="24"/>
          <w:szCs w:val="24"/>
          <w:lang w:val="en-US"/>
        </w:rPr>
        <w:t>protecție</w:t>
      </w:r>
      <w:proofErr w:type="spellEnd"/>
      <w:r w:rsidRPr="00F55E6D">
        <w:rPr>
          <w:sz w:val="24"/>
          <w:szCs w:val="24"/>
          <w:lang w:val="en-US"/>
        </w:rPr>
        <w:t xml:space="preserve"> a </w:t>
      </w:r>
      <w:proofErr w:type="spellStart"/>
      <w:r w:rsidRPr="00F55E6D">
        <w:rPr>
          <w:sz w:val="24"/>
          <w:szCs w:val="24"/>
          <w:lang w:val="en-US"/>
        </w:rPr>
        <w:t>drepturilor</w:t>
      </w:r>
      <w:proofErr w:type="spellEnd"/>
      <w:r w:rsidRPr="00F55E6D">
        <w:rPr>
          <w:sz w:val="24"/>
          <w:szCs w:val="24"/>
          <w:lang w:val="en-US"/>
        </w:rPr>
        <w:t xml:space="preserve"> </w:t>
      </w:r>
      <w:proofErr w:type="spellStart"/>
      <w:r w:rsidRPr="00F55E6D">
        <w:rPr>
          <w:sz w:val="24"/>
          <w:szCs w:val="24"/>
          <w:lang w:val="en-US"/>
        </w:rPr>
        <w:t>omului</w:t>
      </w:r>
      <w:proofErr w:type="spellEnd"/>
      <w:r w:rsidRPr="00F55E6D">
        <w:rPr>
          <w:sz w:val="24"/>
          <w:szCs w:val="24"/>
          <w:lang w:val="en-US"/>
        </w:rPr>
        <w:t xml:space="preserve">, </w:t>
      </w:r>
      <w:proofErr w:type="spellStart"/>
      <w:r w:rsidRPr="00F55E6D">
        <w:rPr>
          <w:sz w:val="24"/>
          <w:szCs w:val="24"/>
          <w:lang w:val="en-US"/>
        </w:rPr>
        <w:t>ca</w:t>
      </w:r>
      <w:proofErr w:type="spellEnd"/>
      <w:r w:rsidRPr="00F55E6D">
        <w:rPr>
          <w:sz w:val="24"/>
          <w:szCs w:val="24"/>
          <w:lang w:val="en-US"/>
        </w:rPr>
        <w:t xml:space="preserve"> </w:t>
      </w:r>
      <w:proofErr w:type="spellStart"/>
      <w:r w:rsidRPr="00F55E6D">
        <w:rPr>
          <w:sz w:val="24"/>
          <w:szCs w:val="24"/>
          <w:lang w:val="en-US"/>
        </w:rPr>
        <w:t>și</w:t>
      </w:r>
      <w:proofErr w:type="spellEnd"/>
      <w:r w:rsidRPr="00F55E6D">
        <w:rPr>
          <w:sz w:val="24"/>
          <w:szCs w:val="24"/>
          <w:lang w:val="en-US"/>
        </w:rPr>
        <w:t xml:space="preserve"> </w:t>
      </w:r>
      <w:proofErr w:type="spellStart"/>
      <w:r w:rsidRPr="00F55E6D">
        <w:rPr>
          <w:sz w:val="24"/>
          <w:szCs w:val="24"/>
          <w:lang w:val="en-US"/>
        </w:rPr>
        <w:t>Curtea</w:t>
      </w:r>
      <w:proofErr w:type="spellEnd"/>
      <w:r w:rsidRPr="00F55E6D">
        <w:rPr>
          <w:sz w:val="24"/>
          <w:szCs w:val="24"/>
          <w:lang w:val="en-US"/>
        </w:rPr>
        <w:t xml:space="preserve"> Inter-</w:t>
      </w:r>
      <w:proofErr w:type="spellStart"/>
      <w:r w:rsidRPr="00F55E6D">
        <w:rPr>
          <w:sz w:val="24"/>
          <w:szCs w:val="24"/>
          <w:lang w:val="en-US"/>
        </w:rPr>
        <w:t>americană</w:t>
      </w:r>
      <w:proofErr w:type="spellEnd"/>
      <w:r w:rsidRPr="00F55E6D">
        <w:rPr>
          <w:sz w:val="24"/>
          <w:szCs w:val="24"/>
          <w:lang w:val="en-US"/>
        </w:rPr>
        <w:t xml:space="preserve">, </w:t>
      </w:r>
      <w:proofErr w:type="spellStart"/>
      <w:r w:rsidRPr="00F55E6D">
        <w:rPr>
          <w:sz w:val="24"/>
          <w:szCs w:val="24"/>
          <w:lang w:val="en-US"/>
        </w:rPr>
        <w:t>Curtea</w:t>
      </w:r>
      <w:proofErr w:type="spellEnd"/>
      <w:r w:rsidRPr="00F55E6D">
        <w:rPr>
          <w:sz w:val="24"/>
          <w:szCs w:val="24"/>
          <w:lang w:val="en-US"/>
        </w:rPr>
        <w:t xml:space="preserve"> </w:t>
      </w:r>
      <w:proofErr w:type="spellStart"/>
      <w:r w:rsidRPr="00F55E6D">
        <w:rPr>
          <w:sz w:val="24"/>
          <w:szCs w:val="24"/>
          <w:lang w:val="en-US"/>
        </w:rPr>
        <w:t>africană</w:t>
      </w:r>
      <w:proofErr w:type="spellEnd"/>
      <w:r w:rsidRPr="00F55E6D">
        <w:rPr>
          <w:sz w:val="24"/>
          <w:szCs w:val="24"/>
          <w:lang w:val="en-US"/>
        </w:rPr>
        <w:t>.</w:t>
      </w:r>
    </w:p>
    <w:p w:rsidR="00B425EB" w:rsidRPr="00F55E6D" w:rsidRDefault="00FE6C32" w:rsidP="00B425EB">
      <w:pPr>
        <w:pStyle w:val="a3"/>
        <w:numPr>
          <w:ilvl w:val="0"/>
          <w:numId w:val="2"/>
        </w:numPr>
        <w:ind w:left="426"/>
        <w:rPr>
          <w:sz w:val="24"/>
          <w:szCs w:val="24"/>
          <w:lang w:val="en-US"/>
        </w:rPr>
      </w:pPr>
      <w:proofErr w:type="spellStart"/>
      <w:r w:rsidRPr="00F55E6D">
        <w:rPr>
          <w:sz w:val="24"/>
          <w:szCs w:val="24"/>
          <w:lang w:val="en-US"/>
        </w:rPr>
        <w:t>Sistemul</w:t>
      </w:r>
      <w:proofErr w:type="spellEnd"/>
      <w:r w:rsidRPr="00F55E6D">
        <w:rPr>
          <w:sz w:val="24"/>
          <w:szCs w:val="24"/>
          <w:lang w:val="en-US"/>
        </w:rPr>
        <w:t xml:space="preserve"> CEDO: </w:t>
      </w:r>
      <w:proofErr w:type="spellStart"/>
      <w:r w:rsidRPr="00F55E6D">
        <w:rPr>
          <w:sz w:val="24"/>
          <w:szCs w:val="24"/>
          <w:lang w:val="en-US"/>
        </w:rPr>
        <w:t>petiție</w:t>
      </w:r>
      <w:proofErr w:type="spellEnd"/>
      <w:r w:rsidRPr="00F55E6D">
        <w:rPr>
          <w:sz w:val="24"/>
          <w:szCs w:val="24"/>
          <w:lang w:val="en-US"/>
        </w:rPr>
        <w:t xml:space="preserve"> individual/</w:t>
      </w:r>
      <w:proofErr w:type="spellStart"/>
      <w:r w:rsidRPr="00F55E6D">
        <w:rPr>
          <w:sz w:val="24"/>
          <w:szCs w:val="24"/>
          <w:lang w:val="en-US"/>
        </w:rPr>
        <w:t>interstatală</w:t>
      </w:r>
      <w:proofErr w:type="spellEnd"/>
      <w:r w:rsidRPr="00F55E6D">
        <w:rPr>
          <w:sz w:val="24"/>
          <w:szCs w:val="24"/>
          <w:lang w:val="en-US"/>
        </w:rPr>
        <w:t xml:space="preserve"> – </w:t>
      </w:r>
      <w:proofErr w:type="spellStart"/>
      <w:r w:rsidRPr="00F55E6D">
        <w:rPr>
          <w:sz w:val="24"/>
          <w:szCs w:val="24"/>
          <w:lang w:val="en-US"/>
        </w:rPr>
        <w:t>CtEDO</w:t>
      </w:r>
      <w:proofErr w:type="spellEnd"/>
      <w:r w:rsidRPr="00F55E6D">
        <w:rPr>
          <w:sz w:val="24"/>
          <w:szCs w:val="24"/>
          <w:lang w:val="en-US"/>
        </w:rPr>
        <w:t xml:space="preserve"> – CM </w:t>
      </w:r>
      <w:proofErr w:type="spellStart"/>
      <w:r w:rsidRPr="00F55E6D">
        <w:rPr>
          <w:sz w:val="24"/>
          <w:szCs w:val="24"/>
          <w:lang w:val="en-US"/>
        </w:rPr>
        <w:t>CoE</w:t>
      </w:r>
      <w:proofErr w:type="spellEnd"/>
      <w:r w:rsidRPr="00F55E6D">
        <w:rPr>
          <w:sz w:val="24"/>
          <w:szCs w:val="24"/>
          <w:lang w:val="en-US"/>
        </w:rPr>
        <w:t xml:space="preserve"> </w:t>
      </w:r>
      <w:proofErr w:type="spellStart"/>
      <w:r w:rsidRPr="00F55E6D">
        <w:rPr>
          <w:sz w:val="24"/>
          <w:szCs w:val="24"/>
          <w:lang w:val="en-US"/>
        </w:rPr>
        <w:t>supraveghează</w:t>
      </w:r>
      <w:proofErr w:type="spellEnd"/>
      <w:r w:rsidRPr="00F55E6D">
        <w:rPr>
          <w:sz w:val="24"/>
          <w:szCs w:val="24"/>
          <w:lang w:val="en-US"/>
        </w:rPr>
        <w:t xml:space="preserve"> </w:t>
      </w:r>
      <w:proofErr w:type="spellStart"/>
      <w:r w:rsidRPr="00F55E6D">
        <w:rPr>
          <w:sz w:val="24"/>
          <w:szCs w:val="24"/>
          <w:lang w:val="en-US"/>
        </w:rPr>
        <w:t>executarea</w:t>
      </w:r>
      <w:proofErr w:type="spellEnd"/>
      <w:r w:rsidRPr="00F55E6D">
        <w:rPr>
          <w:sz w:val="24"/>
          <w:szCs w:val="24"/>
          <w:lang w:val="en-US"/>
        </w:rPr>
        <w:t xml:space="preserve"> (DH)</w:t>
      </w:r>
      <w:r w:rsidR="00B425EB" w:rsidRPr="00F55E6D">
        <w:rPr>
          <w:sz w:val="24"/>
          <w:szCs w:val="24"/>
          <w:lang w:val="en-US"/>
        </w:rPr>
        <w:t xml:space="preserve"> </w:t>
      </w:r>
    </w:p>
    <w:p w:rsidR="00FE6C32" w:rsidRPr="00F55E6D" w:rsidRDefault="00FE6C32" w:rsidP="00B425EB">
      <w:pPr>
        <w:pStyle w:val="a3"/>
        <w:numPr>
          <w:ilvl w:val="0"/>
          <w:numId w:val="2"/>
        </w:numPr>
        <w:ind w:left="426"/>
        <w:rPr>
          <w:sz w:val="24"/>
          <w:szCs w:val="24"/>
          <w:lang w:val="en-US"/>
        </w:rPr>
      </w:pPr>
      <w:proofErr w:type="spellStart"/>
      <w:r w:rsidRPr="00F55E6D">
        <w:rPr>
          <w:b/>
          <w:sz w:val="24"/>
          <w:szCs w:val="24"/>
          <w:lang w:val="en-US"/>
        </w:rPr>
        <w:t>Denunțarea</w:t>
      </w:r>
      <w:proofErr w:type="spellEnd"/>
      <w:r w:rsidRPr="00F55E6D">
        <w:rPr>
          <w:b/>
          <w:sz w:val="24"/>
          <w:szCs w:val="24"/>
          <w:lang w:val="en-US"/>
        </w:rPr>
        <w:t xml:space="preserve"> CEDO</w:t>
      </w:r>
      <w:r w:rsidR="0024205C" w:rsidRPr="00F55E6D">
        <w:rPr>
          <w:b/>
          <w:sz w:val="24"/>
          <w:szCs w:val="24"/>
          <w:lang w:val="en-US"/>
        </w:rPr>
        <w:t xml:space="preserve"> (art.58)</w:t>
      </w:r>
      <w:r w:rsidRPr="00F55E6D">
        <w:rPr>
          <w:sz w:val="24"/>
          <w:szCs w:val="24"/>
          <w:lang w:val="en-US"/>
        </w:rPr>
        <w:t>;</w:t>
      </w:r>
      <w:r w:rsidR="008A3F58" w:rsidRPr="00F55E6D">
        <w:rPr>
          <w:sz w:val="24"/>
          <w:szCs w:val="24"/>
          <w:lang w:val="en-US"/>
        </w:rPr>
        <w:t xml:space="preserve"> </w:t>
      </w:r>
      <w:proofErr w:type="spellStart"/>
      <w:r w:rsidR="008A3F58" w:rsidRPr="00F55E6D">
        <w:rPr>
          <w:sz w:val="24"/>
          <w:szCs w:val="24"/>
          <w:lang w:val="en-US"/>
        </w:rPr>
        <w:t>cazul</w:t>
      </w:r>
      <w:proofErr w:type="spellEnd"/>
      <w:r w:rsidR="008A3F58" w:rsidRPr="00F55E6D">
        <w:rPr>
          <w:sz w:val="24"/>
          <w:szCs w:val="24"/>
          <w:lang w:val="en-US"/>
        </w:rPr>
        <w:t xml:space="preserve"> </w:t>
      </w:r>
      <w:proofErr w:type="spellStart"/>
      <w:r w:rsidR="008A3F58" w:rsidRPr="00F55E6D">
        <w:rPr>
          <w:sz w:val="24"/>
          <w:szCs w:val="24"/>
          <w:lang w:val="en-US"/>
        </w:rPr>
        <w:t>Greciei</w:t>
      </w:r>
      <w:proofErr w:type="spellEnd"/>
      <w:r w:rsidR="008A3F58" w:rsidRPr="00F55E6D">
        <w:rPr>
          <w:sz w:val="24"/>
          <w:szCs w:val="24"/>
          <w:lang w:val="en-US"/>
        </w:rPr>
        <w:t xml:space="preserve"> 1970-73.</w:t>
      </w:r>
    </w:p>
    <w:p w:rsidR="008A3F58" w:rsidRPr="00F55E6D" w:rsidRDefault="008A3F58" w:rsidP="00B425EB">
      <w:pPr>
        <w:pStyle w:val="a3"/>
        <w:numPr>
          <w:ilvl w:val="0"/>
          <w:numId w:val="2"/>
        </w:numPr>
        <w:ind w:left="426"/>
        <w:rPr>
          <w:sz w:val="24"/>
          <w:szCs w:val="24"/>
          <w:lang w:val="en-US"/>
        </w:rPr>
      </w:pPr>
      <w:proofErr w:type="spellStart"/>
      <w:r w:rsidRPr="00F55E6D">
        <w:rPr>
          <w:b/>
          <w:sz w:val="24"/>
          <w:szCs w:val="24"/>
          <w:lang w:val="en-US"/>
        </w:rPr>
        <w:t>Hotărârile</w:t>
      </w:r>
      <w:proofErr w:type="spellEnd"/>
      <w:r w:rsidRPr="00F55E6D">
        <w:rPr>
          <w:b/>
          <w:sz w:val="24"/>
          <w:szCs w:val="24"/>
          <w:lang w:val="en-US"/>
        </w:rPr>
        <w:t xml:space="preserve"> </w:t>
      </w:r>
      <w:proofErr w:type="spellStart"/>
      <w:r w:rsidRPr="00F55E6D">
        <w:rPr>
          <w:b/>
          <w:sz w:val="24"/>
          <w:szCs w:val="24"/>
          <w:lang w:val="en-US"/>
        </w:rPr>
        <w:t>Curții</w:t>
      </w:r>
      <w:proofErr w:type="spellEnd"/>
      <w:r w:rsidRPr="00F55E6D">
        <w:rPr>
          <w:sz w:val="24"/>
          <w:szCs w:val="24"/>
          <w:lang w:val="en-US"/>
        </w:rPr>
        <w:t xml:space="preserve">. </w:t>
      </w:r>
      <w:proofErr w:type="spellStart"/>
      <w:r w:rsidRPr="00F55E6D">
        <w:rPr>
          <w:sz w:val="24"/>
          <w:szCs w:val="24"/>
          <w:lang w:val="en-US"/>
        </w:rPr>
        <w:t>Forța</w:t>
      </w:r>
      <w:proofErr w:type="spellEnd"/>
      <w:r w:rsidRPr="00F55E6D">
        <w:rPr>
          <w:sz w:val="24"/>
          <w:szCs w:val="24"/>
          <w:lang w:val="en-US"/>
        </w:rPr>
        <w:t xml:space="preserve"> </w:t>
      </w:r>
      <w:proofErr w:type="spellStart"/>
      <w:r w:rsidRPr="00F55E6D">
        <w:rPr>
          <w:sz w:val="24"/>
          <w:szCs w:val="24"/>
          <w:lang w:val="en-US"/>
        </w:rPr>
        <w:t>obligatorie</w:t>
      </w:r>
      <w:proofErr w:type="spellEnd"/>
      <w:r w:rsidRPr="00F55E6D">
        <w:rPr>
          <w:sz w:val="24"/>
          <w:szCs w:val="24"/>
          <w:lang w:val="en-US"/>
        </w:rPr>
        <w:t>. Art.46</w:t>
      </w:r>
    </w:p>
    <w:p w:rsidR="008A3F58" w:rsidRPr="00F55E6D" w:rsidRDefault="008A3F58" w:rsidP="00B425EB">
      <w:pPr>
        <w:pStyle w:val="a3"/>
        <w:numPr>
          <w:ilvl w:val="0"/>
          <w:numId w:val="2"/>
        </w:numPr>
        <w:ind w:left="426"/>
        <w:rPr>
          <w:sz w:val="24"/>
          <w:szCs w:val="24"/>
          <w:lang w:val="en-US"/>
        </w:rPr>
      </w:pPr>
      <w:proofErr w:type="spellStart"/>
      <w:r w:rsidRPr="00F55E6D">
        <w:rPr>
          <w:b/>
          <w:sz w:val="24"/>
          <w:szCs w:val="24"/>
          <w:lang w:val="en-US"/>
        </w:rPr>
        <w:t>Avizele</w:t>
      </w:r>
      <w:proofErr w:type="spellEnd"/>
      <w:r w:rsidRPr="00F55E6D">
        <w:rPr>
          <w:b/>
          <w:sz w:val="24"/>
          <w:szCs w:val="24"/>
          <w:lang w:val="en-US"/>
        </w:rPr>
        <w:t xml:space="preserve"> consultative</w:t>
      </w:r>
      <w:r w:rsidRPr="00F55E6D">
        <w:rPr>
          <w:sz w:val="24"/>
          <w:szCs w:val="24"/>
          <w:lang w:val="en-US"/>
        </w:rPr>
        <w:t>. Art.47, 48, 49</w:t>
      </w:r>
    </w:p>
    <w:p w:rsidR="00F55410" w:rsidRPr="00F55E6D" w:rsidRDefault="00F55410" w:rsidP="00B425EB">
      <w:pPr>
        <w:pStyle w:val="a3"/>
        <w:numPr>
          <w:ilvl w:val="0"/>
          <w:numId w:val="2"/>
        </w:numPr>
        <w:ind w:left="426"/>
        <w:rPr>
          <w:sz w:val="24"/>
          <w:szCs w:val="24"/>
          <w:lang w:val="fr-FR"/>
        </w:rPr>
      </w:pPr>
      <w:r w:rsidRPr="00F55E6D">
        <w:rPr>
          <w:b/>
          <w:color w:val="FF0000"/>
          <w:sz w:val="24"/>
          <w:szCs w:val="24"/>
          <w:lang w:val="fr-FR"/>
        </w:rPr>
        <w:t>Tehnicile de interpretare</w:t>
      </w:r>
      <w:r w:rsidRPr="00F55E6D">
        <w:rPr>
          <w:b/>
          <w:sz w:val="24"/>
          <w:szCs w:val="24"/>
          <w:lang w:val="fr-FR"/>
        </w:rPr>
        <w:t xml:space="preserve"> a CEDO: Principiul subsidiarității</w:t>
      </w:r>
      <w:r w:rsidRPr="00F55E6D">
        <w:rPr>
          <w:sz w:val="24"/>
          <w:szCs w:val="24"/>
          <w:lang w:val="fr-FR"/>
        </w:rPr>
        <w:t>. Noțiuni autonome. Convenția este un instrument viu. Obligațiile positive. Marja de apreciere / consensul statelor mebre.</w:t>
      </w:r>
    </w:p>
    <w:p w:rsidR="00CD5299" w:rsidRPr="00F55E6D" w:rsidRDefault="00CD5299" w:rsidP="00CD5299">
      <w:pPr>
        <w:pStyle w:val="a3"/>
        <w:ind w:left="426"/>
        <w:rPr>
          <w:sz w:val="24"/>
          <w:szCs w:val="24"/>
          <w:lang w:val="fr-FR"/>
        </w:rPr>
      </w:pPr>
    </w:p>
    <w:p w:rsidR="00F55E6D" w:rsidRPr="00F55E6D" w:rsidRDefault="00F55E6D" w:rsidP="00F55E6D">
      <w:pPr>
        <w:pStyle w:val="a3"/>
        <w:ind w:left="426"/>
        <w:rPr>
          <w:sz w:val="24"/>
          <w:szCs w:val="24"/>
          <w:lang w:val="fr-FR"/>
        </w:rPr>
      </w:pPr>
      <w:r w:rsidRPr="00F55E6D">
        <w:rPr>
          <w:b/>
          <w:sz w:val="24"/>
          <w:szCs w:val="24"/>
          <w:lang w:val="fr-FR"/>
        </w:rPr>
        <w:t>Principiul subsidiarității</w:t>
      </w:r>
      <w:r w:rsidRPr="00F55E6D">
        <w:rPr>
          <w:sz w:val="24"/>
          <w:szCs w:val="24"/>
          <w:lang w:val="fr-FR"/>
        </w:rPr>
        <w:t xml:space="preserve"> </w:t>
      </w:r>
    </w:p>
    <w:p w:rsidR="00F55E6D" w:rsidRPr="00F55E6D" w:rsidRDefault="00F55E6D" w:rsidP="00F55E6D">
      <w:pPr>
        <w:pStyle w:val="a3"/>
        <w:ind w:left="426"/>
        <w:jc w:val="both"/>
        <w:rPr>
          <w:sz w:val="24"/>
          <w:szCs w:val="24"/>
          <w:lang w:val="fr-FR"/>
        </w:rPr>
      </w:pPr>
      <w:r w:rsidRPr="00F55E6D">
        <w:rPr>
          <w:sz w:val="24"/>
          <w:szCs w:val="24"/>
          <w:lang w:val="fr-FR"/>
        </w:rPr>
        <w:t>în cazul lingvistic belgian din 1968, Curtea s-a referit mai întâi la „caracterul subsidiar al mecanismului internațional de aplicare colectiv</w:t>
      </w:r>
      <w:r w:rsidRPr="00F55E6D">
        <w:rPr>
          <w:sz w:val="24"/>
          <w:szCs w:val="24"/>
          <w:lang w:val="fr-FR"/>
        </w:rPr>
        <w:t>ă instituit prin Convenție”</w:t>
      </w:r>
      <w:r w:rsidRPr="00F55E6D">
        <w:rPr>
          <w:sz w:val="24"/>
          <w:szCs w:val="24"/>
          <w:lang w:val="fr-FR"/>
        </w:rPr>
        <w:t xml:space="preserve"> în ceea ce privește relația dintre sistemul internațional de protecție a drepturilor omului și jurisdicțiile naționale.</w:t>
      </w:r>
    </w:p>
    <w:p w:rsidR="00F55E6D" w:rsidRPr="00F55E6D" w:rsidRDefault="00F55E6D" w:rsidP="00F55E6D">
      <w:pPr>
        <w:pStyle w:val="a3"/>
        <w:ind w:left="426"/>
        <w:rPr>
          <w:sz w:val="24"/>
          <w:szCs w:val="24"/>
          <w:lang w:val="fr-FR"/>
        </w:rPr>
      </w:pPr>
    </w:p>
    <w:p w:rsidR="00F55E6D" w:rsidRPr="00F55E6D" w:rsidRDefault="00F55E6D" w:rsidP="00F55E6D">
      <w:pPr>
        <w:pStyle w:val="a3"/>
        <w:ind w:left="426"/>
        <w:rPr>
          <w:sz w:val="24"/>
          <w:szCs w:val="24"/>
          <w:lang w:val="fr-FR"/>
        </w:rPr>
      </w:pPr>
      <w:r w:rsidRPr="00F55E6D">
        <w:rPr>
          <w:sz w:val="24"/>
          <w:szCs w:val="24"/>
          <w:lang w:val="fr-FR"/>
        </w:rPr>
        <w:t>- Convenția, în versiunea sa actuală, nu conține nicio referire expresă la subsidiaritate;</w:t>
      </w:r>
    </w:p>
    <w:p w:rsidR="00F55E6D" w:rsidRPr="00F55E6D" w:rsidRDefault="00F55E6D" w:rsidP="00F55E6D">
      <w:pPr>
        <w:pStyle w:val="a3"/>
        <w:ind w:left="426"/>
        <w:jc w:val="both"/>
        <w:rPr>
          <w:sz w:val="24"/>
          <w:szCs w:val="24"/>
          <w:lang w:val="fr-FR"/>
        </w:rPr>
      </w:pPr>
      <w:r w:rsidRPr="00F55E6D">
        <w:rPr>
          <w:sz w:val="24"/>
          <w:szCs w:val="24"/>
          <w:lang w:val="fr-FR"/>
        </w:rPr>
        <w:lastRenderedPageBreak/>
        <w:t>- Articolul 1 impune Înaltelor Părți Contractante să asigure tuturor celor din jurisdicția lor drepturile și libertățile prevăzute în Convenție. Statele contractante trebuie să instituie structurile și procedurile necesare pentru a asigura în practică drepturile și libertățile garantate de convenție.</w:t>
      </w:r>
    </w:p>
    <w:p w:rsidR="00F55E6D" w:rsidRPr="00F55E6D" w:rsidRDefault="00F55E6D" w:rsidP="00F55E6D">
      <w:pPr>
        <w:pStyle w:val="a3"/>
        <w:ind w:left="426"/>
        <w:jc w:val="both"/>
        <w:rPr>
          <w:sz w:val="24"/>
          <w:szCs w:val="24"/>
          <w:lang w:val="fr-FR"/>
        </w:rPr>
      </w:pPr>
      <w:r w:rsidRPr="00F55E6D">
        <w:rPr>
          <w:sz w:val="24"/>
          <w:szCs w:val="24"/>
          <w:lang w:val="fr-FR"/>
        </w:rPr>
        <w:t>- Articolul 13 care stipulează că statele trebuie să ofere un remediu eficient pentru încălcările drepturilor și libertăților Convenției, atunci când această protecție se defectează. Consolidarea unui drept în legislația națională nu este suficientă; trebuie să fie posibil să se asigure o despăgubire la nivel național. „Articolul 13 impune ca un mecanism să fie disponibil pentru stabilirea oricărei răspunderi a funcționarilor sau organismelor de stat pentru acte sau omisiuni care încalcă Convenția și că despăgubirea pentru daunele morale care decurg din aceasta ar trebui să facă parte, de asemenea, din gama de remedii disponibile” ( O'Keeffe împotriva Irlandei [GC], nr. 35810/09, § 177, CEDO 2014). În plus, Curtea a dezvoltat obligații procedurale implicite în ceea ce privește dispozițiile de fond ale Convenției: o formă de investigație oficială eficientă în contextul articolelor 2 și 3; există un aspect procedural la articolul 10 care impune ca o măsură restrictivă să fie justificată printr-un motivare suficientă și să facă obiectul unui control judiciar adecvat; art.8, 1P1. În cazul în care sunt îndeplinite cerințele procedurale, Curtea va fi mai puțin înclinată să revizuiască problema de fond. Mai fundamental, dacă nu există proceduri adecvate, Curtea nu își va putea îndeplini rolul de subsidiar.</w:t>
      </w:r>
    </w:p>
    <w:p w:rsidR="00F55E6D" w:rsidRPr="00F55E6D" w:rsidRDefault="00F55E6D" w:rsidP="00F55E6D">
      <w:pPr>
        <w:pStyle w:val="a3"/>
        <w:ind w:left="426"/>
        <w:jc w:val="both"/>
        <w:rPr>
          <w:sz w:val="24"/>
          <w:szCs w:val="24"/>
          <w:lang w:val="fr-FR"/>
        </w:rPr>
      </w:pPr>
      <w:r w:rsidRPr="00F55E6D">
        <w:rPr>
          <w:sz w:val="24"/>
          <w:szCs w:val="24"/>
          <w:lang w:val="fr-FR"/>
        </w:rPr>
        <w:t>- Articolul 35 § 1, Curtea este împiedicată să trateze o cerere înainte ca toate căile de atac interne să fie epuizate. Vučković și alții împotriva Serbiei, Curtea a reamintit principiile generale aplicabile epuizării: „Este o caracteristică fundamentală a mecanismului de protecție stabilit prin Convenție că este subsidiară a sistemelor naționale care protejează drepturile omului. Această Curte este preocupată de supravegherea punerii în aplicare de către statele contractante a obligațiilor care le revin în temeiul convenției. Nu ar trebui să-și asume rolul statelor contractante, a căror responsabilitate este de a se asigura că drepturile și libertățile fundamentale consacrate în acestea sunt respectate și protejate la nivel intern. Regula epuizării căilor de atac interne se bazează pe ipoteza - reflectată în articolul 13 al Convenției, cu care are o strânsă afinitate - că există un remediu eficient disponibil cu privire la presupusa încălcare. Prin urmare, regula este o parte indispensabilă a funcționării acestui sistem de protecție. ” Cu toate acestea, solicitanții nu sunt obligați să invoce dreptul convenției invocat în mod expres în procedurile naționale. Este suficient să ridicați problema pe fond sau implicit.</w:t>
      </w:r>
    </w:p>
    <w:p w:rsidR="00F55E6D" w:rsidRPr="00F55E6D" w:rsidRDefault="00F55E6D" w:rsidP="00F55E6D">
      <w:pPr>
        <w:pStyle w:val="a3"/>
        <w:ind w:left="426"/>
        <w:rPr>
          <w:sz w:val="24"/>
          <w:szCs w:val="24"/>
          <w:lang w:val="fr-FR"/>
        </w:rPr>
      </w:pPr>
      <w:r w:rsidRPr="00F55E6D">
        <w:rPr>
          <w:sz w:val="24"/>
          <w:szCs w:val="24"/>
          <w:lang w:val="fr-FR"/>
        </w:rPr>
        <w:t>- Articolul 53 care recunoaște în mod expres că statele contractante pot merge mai departe decât Convenția în protecția oferită.</w:t>
      </w:r>
    </w:p>
    <w:p w:rsidR="00F55E6D" w:rsidRPr="00F55E6D" w:rsidRDefault="00F55E6D" w:rsidP="00F55E6D">
      <w:pPr>
        <w:pStyle w:val="a3"/>
        <w:ind w:left="426"/>
        <w:jc w:val="both"/>
        <w:rPr>
          <w:sz w:val="24"/>
          <w:szCs w:val="24"/>
          <w:lang w:val="fr-FR"/>
        </w:rPr>
      </w:pPr>
      <w:r w:rsidRPr="00F55E6D">
        <w:rPr>
          <w:sz w:val="24"/>
          <w:szCs w:val="24"/>
          <w:lang w:val="fr-FR"/>
        </w:rPr>
        <w:t>- Subsidiaritatea este prezentă, de asemenea, implicit în multe dintre articolele de fond ale Convenției, în special în cele care permit restricții asupra drepturilor și libertăților protejate.</w:t>
      </w:r>
    </w:p>
    <w:p w:rsidR="00F55E6D" w:rsidRPr="00F55E6D" w:rsidRDefault="00F55E6D" w:rsidP="00F55E6D">
      <w:pPr>
        <w:pStyle w:val="a3"/>
        <w:ind w:left="426"/>
        <w:jc w:val="both"/>
        <w:rPr>
          <w:sz w:val="24"/>
          <w:szCs w:val="24"/>
          <w:lang w:val="fr-FR"/>
        </w:rPr>
      </w:pPr>
      <w:r w:rsidRPr="00F55E6D">
        <w:rPr>
          <w:sz w:val="24"/>
          <w:szCs w:val="24"/>
          <w:lang w:val="fr-FR"/>
        </w:rPr>
        <w:t>- Subsidiaritatea cuprinde două elemente: o obligație pentru statele de a pune în aplicare garanțiile convenției, aceasta fiind o obligație de rezultat mai degrabă decât mijloace și o obligație pentru Curte de a permite autorităților naționale să aibă cea mai mare oportunitate de a aborda o plângere a Convenției, totuși grav, înainte de a putea examina problema în sine.</w:t>
      </w:r>
    </w:p>
    <w:p w:rsidR="00F55E6D" w:rsidRPr="00F55E6D" w:rsidRDefault="00F55E6D" w:rsidP="00F55E6D">
      <w:pPr>
        <w:pStyle w:val="a3"/>
        <w:ind w:left="426"/>
        <w:rPr>
          <w:sz w:val="24"/>
          <w:szCs w:val="24"/>
          <w:lang w:val="fr-FR"/>
        </w:rPr>
      </w:pPr>
      <w:r w:rsidRPr="00F55E6D">
        <w:rPr>
          <w:sz w:val="24"/>
          <w:szCs w:val="24"/>
          <w:lang w:val="fr-FR"/>
        </w:rPr>
        <w:lastRenderedPageBreak/>
        <w:t>- Subsidiaritatea pune constrângeri asupra mecanismului convenției și, prin urmare, își califică rolul prin limitarea sferei revizuirii Curții. Limitele sunt atât procedurale, cât și de fond.</w:t>
      </w:r>
    </w:p>
    <w:p w:rsidR="00F55E6D" w:rsidRPr="00F55E6D" w:rsidRDefault="00F55E6D" w:rsidP="00F55E6D">
      <w:pPr>
        <w:pStyle w:val="a3"/>
        <w:ind w:left="426"/>
        <w:rPr>
          <w:sz w:val="24"/>
          <w:szCs w:val="24"/>
          <w:lang w:val="fr-FR"/>
        </w:rPr>
      </w:pPr>
      <w:r w:rsidRPr="00F55E6D">
        <w:rPr>
          <w:sz w:val="24"/>
          <w:szCs w:val="24"/>
          <w:lang w:val="fr-FR"/>
        </w:rPr>
        <w:t>- Subsidiaritatea în contextul executării hotărârilor Curții;</w:t>
      </w:r>
    </w:p>
    <w:p w:rsidR="00F55E6D" w:rsidRPr="00F55E6D" w:rsidRDefault="00F55E6D" w:rsidP="00F55E6D">
      <w:pPr>
        <w:pStyle w:val="a3"/>
        <w:ind w:left="426"/>
        <w:jc w:val="both"/>
        <w:rPr>
          <w:sz w:val="24"/>
          <w:szCs w:val="24"/>
          <w:lang w:val="fr-FR"/>
        </w:rPr>
      </w:pPr>
      <w:r w:rsidRPr="00F55E6D">
        <w:rPr>
          <w:sz w:val="24"/>
          <w:szCs w:val="24"/>
          <w:lang w:val="fr-FR"/>
        </w:rPr>
        <w:t>- Rezoluția PACE 1823 (2011) a solicitat „tuturor statelor membre să prevadă proceduri parlamentare adecvate pentru a verifica în mod sistematic compatibilitatea proiectelor de legislație cu standardele Convenției și pentru a evita încălcările viitoare ale Convenției, inclusiv monitorizarea periodică a tuturor hotărârilor care ar putea afecta respectivele ordine juridice ”.</w:t>
      </w:r>
    </w:p>
    <w:p w:rsidR="00F55E6D" w:rsidRPr="00F55E6D" w:rsidRDefault="00F55E6D" w:rsidP="00F55E6D">
      <w:pPr>
        <w:pStyle w:val="a3"/>
        <w:ind w:left="426"/>
        <w:rPr>
          <w:sz w:val="24"/>
          <w:szCs w:val="24"/>
          <w:lang w:val="fr-FR"/>
        </w:rPr>
      </w:pPr>
      <w:r w:rsidRPr="00F55E6D">
        <w:rPr>
          <w:sz w:val="24"/>
          <w:szCs w:val="24"/>
          <w:lang w:val="fr-FR"/>
        </w:rPr>
        <w:t>- Subsidiaritatea a evoluat într-o doctrină sofisticată, acoperind nu doar posibilitatea revizuirii, ci și intensitatea acesteia, prin dezvoltarea unor noțiuni precum marja de apreciere și regula „instanței a patra”.</w:t>
      </w:r>
    </w:p>
    <w:p w:rsidR="00F55E6D" w:rsidRPr="00F55E6D" w:rsidRDefault="00F55E6D" w:rsidP="00F55E6D">
      <w:pPr>
        <w:pStyle w:val="a3"/>
        <w:ind w:left="426"/>
        <w:rPr>
          <w:sz w:val="24"/>
          <w:szCs w:val="24"/>
          <w:lang w:val="fr-FR"/>
        </w:rPr>
      </w:pPr>
      <w:r w:rsidRPr="00F55E6D">
        <w:rPr>
          <w:sz w:val="24"/>
          <w:szCs w:val="24"/>
          <w:lang w:val="fr-FR"/>
        </w:rPr>
        <w:t>- În conformitate cu regula instanței a patra, Curtea consideră că are competență limitată să verifice dacă dreptul intern a fost corect interpretat și aplicat și că nu este funcția sa să ia locul</w:t>
      </w:r>
    </w:p>
    <w:p w:rsidR="00F55E6D" w:rsidRPr="00F55E6D" w:rsidRDefault="00F55E6D" w:rsidP="00F55E6D">
      <w:pPr>
        <w:pStyle w:val="a3"/>
        <w:ind w:left="426"/>
        <w:rPr>
          <w:b/>
          <w:sz w:val="24"/>
          <w:szCs w:val="24"/>
          <w:lang w:val="fr-FR"/>
        </w:rPr>
      </w:pPr>
    </w:p>
    <w:p w:rsidR="00F55E6D" w:rsidRPr="00F55E6D" w:rsidRDefault="00F55E6D" w:rsidP="00F55E6D">
      <w:pPr>
        <w:pStyle w:val="a3"/>
        <w:ind w:left="426"/>
        <w:rPr>
          <w:b/>
          <w:sz w:val="24"/>
          <w:szCs w:val="24"/>
          <w:lang w:val="fr-FR"/>
        </w:rPr>
      </w:pPr>
      <w:r w:rsidRPr="00F55E6D">
        <w:rPr>
          <w:b/>
          <w:sz w:val="24"/>
          <w:szCs w:val="24"/>
          <w:lang w:val="fr-FR"/>
        </w:rPr>
        <w:t>Marja de apreciere</w:t>
      </w:r>
    </w:p>
    <w:p w:rsidR="00F55E6D" w:rsidRPr="00F55E6D" w:rsidRDefault="00F55E6D" w:rsidP="00F55E6D">
      <w:pPr>
        <w:pStyle w:val="a3"/>
        <w:ind w:left="426"/>
        <w:jc w:val="both"/>
        <w:rPr>
          <w:sz w:val="24"/>
          <w:szCs w:val="24"/>
          <w:lang w:val="fr-FR"/>
        </w:rPr>
      </w:pPr>
      <w:r w:rsidRPr="00F55E6D">
        <w:rPr>
          <w:i/>
          <w:sz w:val="24"/>
          <w:szCs w:val="24"/>
          <w:lang w:val="fr-FR"/>
        </w:rPr>
        <w:t>Handyside împotriva Regatului Unit</w:t>
      </w:r>
      <w:r w:rsidRPr="00F55E6D">
        <w:rPr>
          <w:sz w:val="24"/>
          <w:szCs w:val="24"/>
          <w:lang w:val="fr-FR"/>
        </w:rPr>
        <w:t>, hotărârea din 7 decembrie 1976 - prima declarație clară a doctrinei, autoritățile naționale sunt mai bine plasate pentru a evalua necesitatea și proporționalitatea măsurilor care restricționează drepturile și libertățile Convenției. În consecință, Curtea exercită un grad de autocontrol care reflectă domeniul de apreciere sau marja de apreciere de care se bucură autoritățile naționale.</w:t>
      </w:r>
    </w:p>
    <w:p w:rsidR="00F55E6D" w:rsidRPr="00F55E6D" w:rsidRDefault="00F55E6D" w:rsidP="00F55E6D">
      <w:pPr>
        <w:pStyle w:val="a3"/>
        <w:ind w:left="426"/>
        <w:jc w:val="both"/>
        <w:rPr>
          <w:sz w:val="24"/>
          <w:szCs w:val="24"/>
          <w:lang w:val="fr-FR"/>
        </w:rPr>
      </w:pPr>
      <w:r w:rsidRPr="00F55E6D">
        <w:rPr>
          <w:sz w:val="24"/>
          <w:szCs w:val="24"/>
          <w:lang w:val="fr-FR"/>
        </w:rPr>
        <w:t>- în aplicarea anumitor garanții ale convenției, poate exista o serie de soluții diferite, dar legitime, în funcție de con</w:t>
      </w:r>
      <w:bookmarkStart w:id="0" w:name="_GoBack"/>
      <w:bookmarkEnd w:id="0"/>
      <w:r w:rsidRPr="00F55E6D">
        <w:rPr>
          <w:sz w:val="24"/>
          <w:szCs w:val="24"/>
          <w:lang w:val="fr-FR"/>
        </w:rPr>
        <w:t>text și, în special, în ceea ce privește evaluarea proporționalității unei limitări permise a unui drept sau libertate sau găsirea unui echilibru între drepturile concurente.</w:t>
      </w:r>
    </w:p>
    <w:p w:rsidR="00F55E6D" w:rsidRPr="00F55E6D" w:rsidRDefault="00F55E6D" w:rsidP="00F55E6D">
      <w:pPr>
        <w:pStyle w:val="a3"/>
        <w:ind w:left="426"/>
        <w:rPr>
          <w:sz w:val="24"/>
          <w:szCs w:val="24"/>
          <w:lang w:val="fr-FR"/>
        </w:rPr>
      </w:pPr>
      <w:r w:rsidRPr="00F55E6D">
        <w:rPr>
          <w:sz w:val="24"/>
          <w:szCs w:val="24"/>
          <w:lang w:val="fr-FR"/>
        </w:rPr>
        <w:t>- Marja de apreciere poate fi privită ca un fel de „</w:t>
      </w:r>
      <w:r w:rsidRPr="00F55E6D">
        <w:rPr>
          <w:i/>
          <w:sz w:val="24"/>
          <w:szCs w:val="24"/>
          <w:lang w:val="fr-FR"/>
        </w:rPr>
        <w:t>lex specialis</w:t>
      </w:r>
      <w:r w:rsidRPr="00F55E6D">
        <w:rPr>
          <w:sz w:val="24"/>
          <w:szCs w:val="24"/>
          <w:lang w:val="fr-FR"/>
        </w:rPr>
        <w:t>” în raport cu principiul general al subsidiarității;</w:t>
      </w:r>
    </w:p>
    <w:p w:rsidR="00F55E6D" w:rsidRPr="00F55E6D" w:rsidRDefault="00F55E6D" w:rsidP="00F55E6D">
      <w:pPr>
        <w:pStyle w:val="a3"/>
        <w:ind w:left="426"/>
        <w:jc w:val="both"/>
        <w:rPr>
          <w:sz w:val="24"/>
          <w:szCs w:val="24"/>
          <w:lang w:val="fr-FR"/>
        </w:rPr>
      </w:pPr>
      <w:r w:rsidRPr="00F55E6D">
        <w:rPr>
          <w:sz w:val="24"/>
          <w:szCs w:val="24"/>
          <w:lang w:val="fr-FR"/>
        </w:rPr>
        <w:t xml:space="preserve">- </w:t>
      </w:r>
      <w:r w:rsidRPr="00F55E6D">
        <w:rPr>
          <w:i/>
          <w:sz w:val="24"/>
          <w:szCs w:val="24"/>
          <w:lang w:val="fr-FR"/>
        </w:rPr>
        <w:t>S.A.S. v. Franța</w:t>
      </w:r>
      <w:r w:rsidRPr="00F55E6D">
        <w:rPr>
          <w:sz w:val="24"/>
          <w:szCs w:val="24"/>
          <w:lang w:val="fr-FR"/>
        </w:rPr>
        <w:t xml:space="preserve"> [GC], nr. 43835/11, § 129, 1 iulie 2014. - „autoritățile naționale au legitimitate democratică directă și sunt, în principiu, mai bine plasate decât o instanță internațională pentru a evalua nevoile și condițiile locale. În chestiuni de politică generală, asupra cărora opiniile într-o societate democratică pot diferi în mod rezonabil, rolul factorului de decizie intern ar trebui să aibă o pondere specială ”.</w:t>
      </w:r>
    </w:p>
    <w:p w:rsidR="00F55E6D" w:rsidRPr="00F55E6D" w:rsidRDefault="00F55E6D" w:rsidP="00F55E6D">
      <w:pPr>
        <w:pStyle w:val="a3"/>
        <w:ind w:left="426"/>
        <w:jc w:val="both"/>
        <w:rPr>
          <w:sz w:val="24"/>
          <w:szCs w:val="24"/>
          <w:lang w:val="fr-FR"/>
        </w:rPr>
      </w:pPr>
      <w:r w:rsidRPr="00F55E6D">
        <w:rPr>
          <w:sz w:val="24"/>
          <w:szCs w:val="24"/>
          <w:lang w:val="fr-FR"/>
        </w:rPr>
        <w:t>- unele domenii-cheie în care marja de apreciere nu are niciun rol: dacă faptele constatate stabilite ating sau nu nivelul de severitate pentru a atrage protecția articolului 3, n0 spațiu pentru echilibrarea intereselor concurente, cum ar fi securitatea națională, împotriva riscului bolnavului -tratament sau tortură.</w:t>
      </w:r>
    </w:p>
    <w:p w:rsidR="00F55E6D" w:rsidRPr="00F55E6D" w:rsidRDefault="00F55E6D" w:rsidP="00F55E6D">
      <w:pPr>
        <w:pStyle w:val="a3"/>
        <w:ind w:left="426"/>
        <w:rPr>
          <w:sz w:val="24"/>
          <w:szCs w:val="24"/>
          <w:lang w:val="fr-FR"/>
        </w:rPr>
      </w:pPr>
      <w:r w:rsidRPr="00F55E6D">
        <w:rPr>
          <w:sz w:val="24"/>
          <w:szCs w:val="24"/>
          <w:lang w:val="fr-FR"/>
        </w:rPr>
        <w:t>- lățimea marjei variază în funcție de natura interesului a cărui protecție se pretinde: în raport cu libertatea de exprimare, marja va fi restrânsă în ceea ce privește restricțiile la discursul politic și mai largă în legătură cu discursul care ofensează convingerile personale în cadrul sfera moralei sau a religiei sau în ceea ce privește reglementarea vorbirii comerciale;</w:t>
      </w:r>
    </w:p>
    <w:p w:rsidR="00F55E6D" w:rsidRPr="00F55E6D" w:rsidRDefault="00F55E6D" w:rsidP="00F55E6D">
      <w:pPr>
        <w:pStyle w:val="a3"/>
        <w:ind w:left="426"/>
        <w:rPr>
          <w:sz w:val="24"/>
          <w:szCs w:val="24"/>
          <w:lang w:val="en-US"/>
        </w:rPr>
      </w:pPr>
      <w:r w:rsidRPr="00F55E6D">
        <w:rPr>
          <w:sz w:val="24"/>
          <w:szCs w:val="24"/>
          <w:lang w:val="en-US"/>
        </w:rPr>
        <w:t xml:space="preserve">- </w:t>
      </w:r>
      <w:proofErr w:type="spellStart"/>
      <w:r w:rsidRPr="00F55E6D">
        <w:rPr>
          <w:sz w:val="24"/>
          <w:szCs w:val="24"/>
          <w:lang w:val="en-US"/>
        </w:rPr>
        <w:t>Factori</w:t>
      </w:r>
      <w:proofErr w:type="spellEnd"/>
      <w:r w:rsidRPr="00F55E6D">
        <w:rPr>
          <w:sz w:val="24"/>
          <w:szCs w:val="24"/>
          <w:lang w:val="en-US"/>
        </w:rPr>
        <w:t xml:space="preserve"> care pot </w:t>
      </w:r>
      <w:proofErr w:type="spellStart"/>
      <w:r w:rsidRPr="00F55E6D">
        <w:rPr>
          <w:sz w:val="24"/>
          <w:szCs w:val="24"/>
          <w:lang w:val="en-US"/>
        </w:rPr>
        <w:t>determina</w:t>
      </w:r>
      <w:proofErr w:type="spellEnd"/>
      <w:r w:rsidRPr="00F55E6D">
        <w:rPr>
          <w:sz w:val="24"/>
          <w:szCs w:val="24"/>
          <w:lang w:val="en-US"/>
        </w:rPr>
        <w:t xml:space="preserve"> </w:t>
      </w:r>
      <w:proofErr w:type="spellStart"/>
      <w:r w:rsidRPr="00F55E6D">
        <w:rPr>
          <w:sz w:val="24"/>
          <w:szCs w:val="24"/>
          <w:lang w:val="en-US"/>
        </w:rPr>
        <w:t>lățimea</w:t>
      </w:r>
      <w:proofErr w:type="spellEnd"/>
      <w:r w:rsidRPr="00F55E6D">
        <w:rPr>
          <w:sz w:val="24"/>
          <w:szCs w:val="24"/>
          <w:lang w:val="en-US"/>
        </w:rPr>
        <w:t xml:space="preserve"> </w:t>
      </w:r>
      <w:proofErr w:type="spellStart"/>
      <w:r w:rsidRPr="00F55E6D">
        <w:rPr>
          <w:sz w:val="24"/>
          <w:szCs w:val="24"/>
          <w:lang w:val="en-US"/>
        </w:rPr>
        <w:t>marjei</w:t>
      </w:r>
      <w:proofErr w:type="spellEnd"/>
      <w:r w:rsidRPr="00F55E6D">
        <w:rPr>
          <w:sz w:val="24"/>
          <w:szCs w:val="24"/>
          <w:lang w:val="en-US"/>
        </w:rPr>
        <w:t xml:space="preserve"> de </w:t>
      </w:r>
      <w:proofErr w:type="spellStart"/>
      <w:r w:rsidRPr="00F55E6D">
        <w:rPr>
          <w:sz w:val="24"/>
          <w:szCs w:val="24"/>
          <w:lang w:val="en-US"/>
        </w:rPr>
        <w:t>apreciere</w:t>
      </w:r>
      <w:proofErr w:type="spellEnd"/>
      <w:r w:rsidRPr="00F55E6D">
        <w:rPr>
          <w:sz w:val="24"/>
          <w:szCs w:val="24"/>
          <w:lang w:val="en-US"/>
        </w:rPr>
        <w:t>:</w:t>
      </w:r>
    </w:p>
    <w:p w:rsidR="00F55E6D" w:rsidRPr="00F55E6D" w:rsidRDefault="00F55E6D" w:rsidP="00F55E6D">
      <w:pPr>
        <w:pStyle w:val="a3"/>
        <w:ind w:left="426"/>
        <w:rPr>
          <w:sz w:val="24"/>
          <w:szCs w:val="24"/>
          <w:lang w:val="fr-FR"/>
        </w:rPr>
      </w:pPr>
      <w:r w:rsidRPr="00F55E6D">
        <w:rPr>
          <w:sz w:val="24"/>
          <w:szCs w:val="24"/>
          <w:lang w:val="fr-FR"/>
        </w:rPr>
        <w:lastRenderedPageBreak/>
        <w:t>- -1. este existența sau lipsa „consensului” la nivel european, existența unei „tendințe clare” sau a unei „tendințe distincte” .;</w:t>
      </w:r>
    </w:p>
    <w:p w:rsidR="00F55E6D" w:rsidRPr="00F55E6D" w:rsidRDefault="00F55E6D" w:rsidP="00F55E6D">
      <w:pPr>
        <w:pStyle w:val="a3"/>
        <w:ind w:left="426"/>
        <w:rPr>
          <w:sz w:val="24"/>
          <w:szCs w:val="24"/>
          <w:lang w:val="fr-FR"/>
        </w:rPr>
      </w:pPr>
      <w:r w:rsidRPr="00F55E6D">
        <w:rPr>
          <w:sz w:val="24"/>
          <w:szCs w:val="24"/>
          <w:lang w:val="fr-FR"/>
        </w:rPr>
        <w:t>- 2. Domeniul de aplicare al marjei de apreciere poate fi mai extins în cazul în care autoritățile naționale echilibrează drepturile concurente ale Convenției: „în cazul în care exercițiul de echilibrare a fost întreprins de autoritățile naționale în conformitate cu criteriile stabilite în jurisprudența Curții, Curtea ar necesita motive temeinice pentru a-și înlocui punctul de vedere cu cel al instanțelor naționale ”(MGN Limited împotriva Regatului Unit, nr. 39401/04, §§ 150 și 155, 18 ianuarie 2011);</w:t>
      </w:r>
    </w:p>
    <w:p w:rsidR="00F55E6D" w:rsidRPr="00F55E6D" w:rsidRDefault="00F55E6D" w:rsidP="00F55E6D">
      <w:pPr>
        <w:pStyle w:val="a3"/>
        <w:ind w:left="426"/>
        <w:rPr>
          <w:sz w:val="24"/>
          <w:szCs w:val="24"/>
          <w:lang w:val="fr-FR"/>
        </w:rPr>
      </w:pPr>
      <w:r w:rsidRPr="00F55E6D">
        <w:rPr>
          <w:sz w:val="24"/>
          <w:szCs w:val="24"/>
          <w:lang w:val="fr-FR"/>
        </w:rPr>
        <w:t>- 3. calitatea procesului parlamentar în evaluarea lățimii marjei de apreciere. Animal Defenders International împotriva Regatului Unit [GC], citat mai sus, la § 108: „... pentru a determina proporționalitatea unei măsuri generale, Curtea trebuie să evalueze în primul rând alegerile legislative care stau la baza ei .... Calitatea revizuirea parlamentară și judiciară a necesității măsurii are o importanță deosebită în acest sens, inclusiv pentru funcționarea marjei relevante de apreciere. ”</w:t>
      </w:r>
    </w:p>
    <w:p w:rsidR="00F55E6D" w:rsidRPr="00F55E6D" w:rsidRDefault="00F55E6D" w:rsidP="00CD5299">
      <w:pPr>
        <w:pStyle w:val="a3"/>
        <w:ind w:left="426"/>
        <w:rPr>
          <w:sz w:val="24"/>
          <w:szCs w:val="24"/>
          <w:lang w:val="fr-FR"/>
        </w:rPr>
      </w:pPr>
    </w:p>
    <w:p w:rsidR="00CD5299" w:rsidRPr="00F55E6D" w:rsidRDefault="00CD5299" w:rsidP="00F55E6D">
      <w:pPr>
        <w:pStyle w:val="a3"/>
        <w:ind w:left="1080"/>
        <w:rPr>
          <w:b/>
          <w:sz w:val="24"/>
          <w:szCs w:val="24"/>
          <w:lang w:val="en-US"/>
        </w:rPr>
      </w:pPr>
      <w:proofErr w:type="spellStart"/>
      <w:r w:rsidRPr="00F55E6D">
        <w:rPr>
          <w:b/>
          <w:sz w:val="24"/>
          <w:szCs w:val="24"/>
          <w:lang w:val="en-US"/>
        </w:rPr>
        <w:t>Structura</w:t>
      </w:r>
      <w:proofErr w:type="spellEnd"/>
      <w:r w:rsidRPr="00F55E6D">
        <w:rPr>
          <w:b/>
          <w:sz w:val="24"/>
          <w:szCs w:val="24"/>
          <w:lang w:val="en-US"/>
        </w:rPr>
        <w:t xml:space="preserve"> </w:t>
      </w:r>
      <w:proofErr w:type="spellStart"/>
      <w:r w:rsidRPr="00F55E6D">
        <w:rPr>
          <w:b/>
          <w:sz w:val="24"/>
          <w:szCs w:val="24"/>
          <w:lang w:val="en-US"/>
        </w:rPr>
        <w:t>Curții</w:t>
      </w:r>
      <w:proofErr w:type="spellEnd"/>
    </w:p>
    <w:p w:rsidR="00CD5299" w:rsidRPr="00F55E6D" w:rsidRDefault="00CD5299" w:rsidP="00CD5299">
      <w:pPr>
        <w:pStyle w:val="a3"/>
        <w:numPr>
          <w:ilvl w:val="0"/>
          <w:numId w:val="2"/>
        </w:numPr>
        <w:ind w:left="0" w:firstLine="720"/>
        <w:rPr>
          <w:sz w:val="24"/>
          <w:szCs w:val="24"/>
          <w:lang w:val="en-US"/>
        </w:rPr>
      </w:pPr>
      <w:proofErr w:type="spellStart"/>
      <w:r w:rsidRPr="00F55E6D">
        <w:rPr>
          <w:sz w:val="24"/>
          <w:szCs w:val="24"/>
          <w:lang w:val="en-US"/>
        </w:rPr>
        <w:t>Grefa</w:t>
      </w:r>
      <w:proofErr w:type="spellEnd"/>
      <w:r w:rsidRPr="00F55E6D">
        <w:rPr>
          <w:sz w:val="24"/>
          <w:szCs w:val="24"/>
          <w:lang w:val="en-US"/>
        </w:rPr>
        <w:t xml:space="preserve"> – </w:t>
      </w:r>
      <w:proofErr w:type="spellStart"/>
      <w:r w:rsidRPr="00F55E6D">
        <w:rPr>
          <w:sz w:val="24"/>
          <w:szCs w:val="24"/>
          <w:lang w:val="en-US"/>
        </w:rPr>
        <w:t>Grefierii</w:t>
      </w:r>
      <w:proofErr w:type="spellEnd"/>
      <w:r w:rsidRPr="00F55E6D">
        <w:rPr>
          <w:sz w:val="24"/>
          <w:szCs w:val="24"/>
          <w:lang w:val="en-US"/>
        </w:rPr>
        <w:t xml:space="preserve"> MC, </w:t>
      </w:r>
      <w:proofErr w:type="spellStart"/>
      <w:r w:rsidRPr="00F55E6D">
        <w:rPr>
          <w:sz w:val="24"/>
          <w:szCs w:val="24"/>
          <w:lang w:val="en-US"/>
        </w:rPr>
        <w:t>grefierii</w:t>
      </w:r>
      <w:proofErr w:type="spellEnd"/>
      <w:r w:rsidRPr="00F55E6D">
        <w:rPr>
          <w:sz w:val="24"/>
          <w:szCs w:val="24"/>
          <w:lang w:val="en-US"/>
        </w:rPr>
        <w:t xml:space="preserve"> </w:t>
      </w:r>
      <w:proofErr w:type="spellStart"/>
      <w:r w:rsidRPr="00F55E6D">
        <w:rPr>
          <w:sz w:val="24"/>
          <w:szCs w:val="24"/>
          <w:lang w:val="en-US"/>
        </w:rPr>
        <w:t>secțiilor</w:t>
      </w:r>
      <w:proofErr w:type="spellEnd"/>
      <w:r w:rsidRPr="00F55E6D">
        <w:rPr>
          <w:sz w:val="24"/>
          <w:szCs w:val="24"/>
          <w:lang w:val="en-US"/>
        </w:rPr>
        <w:t xml:space="preserve">, </w:t>
      </w:r>
      <w:proofErr w:type="spellStart"/>
      <w:r w:rsidRPr="00F55E6D">
        <w:rPr>
          <w:sz w:val="24"/>
          <w:szCs w:val="24"/>
          <w:lang w:val="en-US"/>
        </w:rPr>
        <w:t>grefieri</w:t>
      </w:r>
      <w:proofErr w:type="spellEnd"/>
      <w:r w:rsidRPr="00F55E6D">
        <w:rPr>
          <w:sz w:val="24"/>
          <w:szCs w:val="24"/>
          <w:lang w:val="en-US"/>
        </w:rPr>
        <w:t xml:space="preserve"> </w:t>
      </w:r>
      <w:proofErr w:type="spellStart"/>
      <w:r w:rsidRPr="00F55E6D">
        <w:rPr>
          <w:sz w:val="24"/>
          <w:szCs w:val="24"/>
          <w:lang w:val="en-US"/>
        </w:rPr>
        <w:t>adjuncți</w:t>
      </w:r>
      <w:proofErr w:type="spellEnd"/>
    </w:p>
    <w:p w:rsidR="00CD5299" w:rsidRPr="00F55E6D" w:rsidRDefault="00CD5299" w:rsidP="00CD5299">
      <w:pPr>
        <w:pStyle w:val="a3"/>
        <w:numPr>
          <w:ilvl w:val="0"/>
          <w:numId w:val="2"/>
        </w:numPr>
        <w:ind w:left="0" w:firstLine="720"/>
        <w:rPr>
          <w:sz w:val="24"/>
          <w:szCs w:val="24"/>
          <w:lang w:val="en-US"/>
        </w:rPr>
      </w:pPr>
      <w:proofErr w:type="spellStart"/>
      <w:r w:rsidRPr="00F55E6D">
        <w:rPr>
          <w:sz w:val="24"/>
          <w:szCs w:val="24"/>
          <w:lang w:val="en-US"/>
        </w:rPr>
        <w:t>Judecătorii</w:t>
      </w:r>
      <w:proofErr w:type="spellEnd"/>
      <w:r w:rsidRPr="00F55E6D">
        <w:rPr>
          <w:sz w:val="24"/>
          <w:szCs w:val="24"/>
          <w:lang w:val="en-US"/>
        </w:rPr>
        <w:t xml:space="preserve"> – 47 – </w:t>
      </w:r>
      <w:proofErr w:type="spellStart"/>
      <w:r w:rsidRPr="00F55E6D">
        <w:rPr>
          <w:sz w:val="24"/>
          <w:szCs w:val="24"/>
          <w:lang w:val="en-US"/>
        </w:rPr>
        <w:t>judecători</w:t>
      </w:r>
      <w:proofErr w:type="spellEnd"/>
      <w:r w:rsidRPr="00F55E6D">
        <w:rPr>
          <w:sz w:val="24"/>
          <w:szCs w:val="24"/>
          <w:lang w:val="en-US"/>
        </w:rPr>
        <w:t xml:space="preserve"> </w:t>
      </w:r>
      <w:proofErr w:type="spellStart"/>
      <w:r w:rsidRPr="00F55E6D">
        <w:rPr>
          <w:sz w:val="24"/>
          <w:szCs w:val="24"/>
          <w:lang w:val="en-US"/>
        </w:rPr>
        <w:t>unici</w:t>
      </w:r>
      <w:proofErr w:type="spellEnd"/>
      <w:r w:rsidRPr="00F55E6D">
        <w:rPr>
          <w:sz w:val="24"/>
          <w:szCs w:val="24"/>
          <w:lang w:val="en-US"/>
        </w:rPr>
        <w:t>/</w:t>
      </w:r>
      <w:proofErr w:type="spellStart"/>
      <w:r w:rsidRPr="00F55E6D">
        <w:rPr>
          <w:sz w:val="24"/>
          <w:szCs w:val="24"/>
          <w:lang w:val="en-US"/>
        </w:rPr>
        <w:t>comitete</w:t>
      </w:r>
      <w:proofErr w:type="spellEnd"/>
      <w:r w:rsidRPr="00F55E6D">
        <w:rPr>
          <w:sz w:val="24"/>
          <w:szCs w:val="24"/>
          <w:lang w:val="en-US"/>
        </w:rPr>
        <w:t xml:space="preserve">/camera/MC – </w:t>
      </w:r>
      <w:proofErr w:type="spellStart"/>
      <w:r w:rsidRPr="00F55E6D">
        <w:rPr>
          <w:sz w:val="24"/>
          <w:szCs w:val="24"/>
          <w:lang w:val="en-US"/>
        </w:rPr>
        <w:t>biroul</w:t>
      </w:r>
      <w:proofErr w:type="spellEnd"/>
      <w:r w:rsidRPr="00F55E6D">
        <w:rPr>
          <w:sz w:val="24"/>
          <w:szCs w:val="24"/>
          <w:lang w:val="en-US"/>
        </w:rPr>
        <w:t xml:space="preserve"> MC – </w:t>
      </w:r>
      <w:proofErr w:type="spellStart"/>
      <w:r w:rsidRPr="00F55E6D">
        <w:rPr>
          <w:sz w:val="24"/>
          <w:szCs w:val="24"/>
          <w:lang w:val="en-US"/>
        </w:rPr>
        <w:t>panelul</w:t>
      </w:r>
      <w:proofErr w:type="spellEnd"/>
      <w:r w:rsidRPr="00F55E6D">
        <w:rPr>
          <w:sz w:val="24"/>
          <w:szCs w:val="24"/>
          <w:lang w:val="en-US"/>
        </w:rPr>
        <w:t xml:space="preserve"> 5 </w:t>
      </w:r>
      <w:proofErr w:type="spellStart"/>
      <w:r w:rsidRPr="00F55E6D">
        <w:rPr>
          <w:sz w:val="24"/>
          <w:szCs w:val="24"/>
          <w:lang w:val="en-US"/>
        </w:rPr>
        <w:t>judecători</w:t>
      </w:r>
      <w:proofErr w:type="spellEnd"/>
      <w:r w:rsidRPr="00F55E6D">
        <w:rPr>
          <w:sz w:val="24"/>
          <w:szCs w:val="24"/>
          <w:lang w:val="en-US"/>
        </w:rPr>
        <w:t xml:space="preserve"> </w:t>
      </w:r>
      <w:proofErr w:type="spellStart"/>
      <w:r w:rsidRPr="00F55E6D">
        <w:rPr>
          <w:sz w:val="24"/>
          <w:szCs w:val="24"/>
          <w:lang w:val="en-US"/>
        </w:rPr>
        <w:t>ai</w:t>
      </w:r>
      <w:proofErr w:type="spellEnd"/>
      <w:r w:rsidRPr="00F55E6D">
        <w:rPr>
          <w:sz w:val="24"/>
          <w:szCs w:val="24"/>
          <w:lang w:val="en-US"/>
        </w:rPr>
        <w:t xml:space="preserve"> MC</w:t>
      </w:r>
    </w:p>
    <w:p w:rsidR="00CD5299" w:rsidRPr="00F55E6D" w:rsidRDefault="00CD5299" w:rsidP="00CD5299">
      <w:pPr>
        <w:pStyle w:val="a3"/>
        <w:numPr>
          <w:ilvl w:val="0"/>
          <w:numId w:val="2"/>
        </w:numPr>
        <w:ind w:left="0" w:firstLine="720"/>
        <w:rPr>
          <w:sz w:val="24"/>
          <w:szCs w:val="24"/>
          <w:lang w:val="en-US"/>
        </w:rPr>
      </w:pPr>
      <w:proofErr w:type="spellStart"/>
      <w:r w:rsidRPr="00F55E6D">
        <w:rPr>
          <w:sz w:val="24"/>
          <w:szCs w:val="24"/>
          <w:lang w:val="en-US"/>
        </w:rPr>
        <w:t>Plenara</w:t>
      </w:r>
      <w:proofErr w:type="spellEnd"/>
      <w:r w:rsidRPr="00F55E6D">
        <w:rPr>
          <w:sz w:val="24"/>
          <w:szCs w:val="24"/>
          <w:lang w:val="en-US"/>
        </w:rPr>
        <w:t xml:space="preserve"> </w:t>
      </w:r>
      <w:proofErr w:type="spellStart"/>
      <w:r w:rsidRPr="00F55E6D">
        <w:rPr>
          <w:sz w:val="24"/>
          <w:szCs w:val="24"/>
          <w:lang w:val="en-US"/>
        </w:rPr>
        <w:t>CtEDO</w:t>
      </w:r>
      <w:proofErr w:type="spellEnd"/>
      <w:r w:rsidRPr="00F55E6D">
        <w:rPr>
          <w:sz w:val="24"/>
          <w:szCs w:val="24"/>
          <w:lang w:val="en-US"/>
        </w:rPr>
        <w:t xml:space="preserve"> – </w:t>
      </w:r>
      <w:proofErr w:type="spellStart"/>
      <w:r w:rsidRPr="00F55E6D">
        <w:rPr>
          <w:sz w:val="24"/>
          <w:szCs w:val="24"/>
          <w:lang w:val="en-US"/>
        </w:rPr>
        <w:t>rolul</w:t>
      </w:r>
      <w:proofErr w:type="spellEnd"/>
      <w:r w:rsidRPr="00F55E6D">
        <w:rPr>
          <w:sz w:val="24"/>
          <w:szCs w:val="24"/>
          <w:lang w:val="en-US"/>
        </w:rPr>
        <w:t xml:space="preserve"> </w:t>
      </w:r>
      <w:proofErr w:type="spellStart"/>
      <w:r w:rsidRPr="00F55E6D">
        <w:rPr>
          <w:sz w:val="24"/>
          <w:szCs w:val="24"/>
          <w:lang w:val="en-US"/>
        </w:rPr>
        <w:t>său</w:t>
      </w:r>
      <w:proofErr w:type="spellEnd"/>
      <w:r w:rsidRPr="00F55E6D">
        <w:rPr>
          <w:sz w:val="24"/>
          <w:szCs w:val="24"/>
          <w:lang w:val="en-US"/>
        </w:rPr>
        <w:t xml:space="preserve"> –</w:t>
      </w:r>
      <w:proofErr w:type="spellStart"/>
      <w:r w:rsidRPr="00F55E6D">
        <w:rPr>
          <w:sz w:val="24"/>
          <w:szCs w:val="24"/>
          <w:lang w:val="en-US"/>
        </w:rPr>
        <w:t>alegerea</w:t>
      </w:r>
      <w:proofErr w:type="spellEnd"/>
      <w:r w:rsidRPr="00F55E6D">
        <w:rPr>
          <w:sz w:val="24"/>
          <w:szCs w:val="24"/>
          <w:lang w:val="en-US"/>
        </w:rPr>
        <w:t xml:space="preserve"> </w:t>
      </w:r>
      <w:proofErr w:type="spellStart"/>
      <w:r w:rsidRPr="00F55E6D">
        <w:rPr>
          <w:sz w:val="24"/>
          <w:szCs w:val="24"/>
          <w:lang w:val="en-US"/>
        </w:rPr>
        <w:t>Președintelui</w:t>
      </w:r>
      <w:proofErr w:type="spellEnd"/>
      <w:r w:rsidRPr="00F55E6D">
        <w:rPr>
          <w:sz w:val="24"/>
          <w:szCs w:val="24"/>
          <w:lang w:val="en-US"/>
        </w:rPr>
        <w:t xml:space="preserve"> </w:t>
      </w:r>
      <w:proofErr w:type="spellStart"/>
      <w:r w:rsidRPr="00F55E6D">
        <w:rPr>
          <w:sz w:val="24"/>
          <w:szCs w:val="24"/>
          <w:lang w:val="en-US"/>
        </w:rPr>
        <w:t>curții</w:t>
      </w:r>
      <w:proofErr w:type="spellEnd"/>
      <w:r w:rsidRPr="00F55E6D">
        <w:rPr>
          <w:sz w:val="24"/>
          <w:szCs w:val="24"/>
          <w:lang w:val="en-US"/>
        </w:rPr>
        <w:t xml:space="preserve">, Vice </w:t>
      </w:r>
      <w:proofErr w:type="spellStart"/>
      <w:r w:rsidRPr="00F55E6D">
        <w:rPr>
          <w:sz w:val="24"/>
          <w:szCs w:val="24"/>
          <w:lang w:val="en-US"/>
        </w:rPr>
        <w:t>președinților</w:t>
      </w:r>
      <w:proofErr w:type="spellEnd"/>
      <w:r w:rsidRPr="00F55E6D">
        <w:rPr>
          <w:sz w:val="24"/>
          <w:szCs w:val="24"/>
          <w:lang w:val="en-US"/>
        </w:rPr>
        <w:t xml:space="preserve"> </w:t>
      </w:r>
      <w:proofErr w:type="spellStart"/>
      <w:r w:rsidRPr="00F55E6D">
        <w:rPr>
          <w:sz w:val="24"/>
          <w:szCs w:val="24"/>
          <w:lang w:val="en-US"/>
        </w:rPr>
        <w:t>și</w:t>
      </w:r>
      <w:proofErr w:type="spellEnd"/>
      <w:r w:rsidRPr="00F55E6D">
        <w:rPr>
          <w:sz w:val="24"/>
          <w:szCs w:val="24"/>
          <w:lang w:val="en-US"/>
        </w:rPr>
        <w:t xml:space="preserve"> </w:t>
      </w:r>
      <w:proofErr w:type="spellStart"/>
      <w:r w:rsidRPr="00F55E6D">
        <w:rPr>
          <w:sz w:val="24"/>
          <w:szCs w:val="24"/>
          <w:lang w:val="en-US"/>
        </w:rPr>
        <w:t>grefierilor</w:t>
      </w:r>
      <w:proofErr w:type="spellEnd"/>
    </w:p>
    <w:p w:rsidR="00CD5299" w:rsidRPr="00F55E6D" w:rsidRDefault="00CD5299" w:rsidP="00CD5299">
      <w:pPr>
        <w:rPr>
          <w:sz w:val="24"/>
          <w:szCs w:val="24"/>
          <w:lang w:val="en-US"/>
        </w:rPr>
      </w:pPr>
    </w:p>
    <w:sectPr w:rsidR="00CD5299" w:rsidRPr="00F55E6D" w:rsidSect="007C7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8455E"/>
    <w:multiLevelType w:val="hybridMultilevel"/>
    <w:tmpl w:val="A65A4E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F1244CF"/>
    <w:multiLevelType w:val="hybridMultilevel"/>
    <w:tmpl w:val="DC705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DB5DD1"/>
    <w:rsid w:val="00076604"/>
    <w:rsid w:val="0013159C"/>
    <w:rsid w:val="0024205C"/>
    <w:rsid w:val="002919FE"/>
    <w:rsid w:val="006B321B"/>
    <w:rsid w:val="006D01C4"/>
    <w:rsid w:val="007C780D"/>
    <w:rsid w:val="008A3F58"/>
    <w:rsid w:val="009A1855"/>
    <w:rsid w:val="00B425EB"/>
    <w:rsid w:val="00CD123E"/>
    <w:rsid w:val="00CD5299"/>
    <w:rsid w:val="00D56CF4"/>
    <w:rsid w:val="00DB5DD1"/>
    <w:rsid w:val="00E3587C"/>
    <w:rsid w:val="00F55410"/>
    <w:rsid w:val="00F55E6D"/>
    <w:rsid w:val="00FE6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D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2018-09-20T11:44:00Z</dcterms:created>
  <dcterms:modified xsi:type="dcterms:W3CDTF">2021-09-28T07:50:00Z</dcterms:modified>
</cp:coreProperties>
</file>