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N</w:t>
      </w:r>
      <w:r w:rsidRPr="00505043">
        <w:rPr>
          <w:color w:val="000000"/>
        </w:rPr>
        <w:t>ext week the European Commission is presenting our roadmap, the </w:t>
      </w:r>
      <w:hyperlink r:id="rId5" w:history="1">
        <w:r w:rsidRPr="00505043">
          <w:rPr>
            <w:rStyle w:val="Hyperlink"/>
            <w:color w:val="0065F2"/>
            <w:u w:val="none"/>
            <w:bdr w:val="single" w:sz="2" w:space="0" w:color="auto" w:frame="1"/>
          </w:rPr>
          <w:t>Competitiveness Compass</w:t>
        </w:r>
      </w:hyperlink>
      <w:r w:rsidRPr="00505043">
        <w:rPr>
          <w:color w:val="000000"/>
        </w:rPr>
        <w:t>, which will drive our work for the next five years.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 xml:space="preserve">The focus will be to increase productivity by closing the innovation gap. </w:t>
      </w:r>
      <w:proofErr w:type="gramStart"/>
      <w:r w:rsidRPr="00505043">
        <w:rPr>
          <w:color w:val="000000"/>
        </w:rPr>
        <w:t xml:space="preserve">A joint plan for </w:t>
      </w:r>
      <w:proofErr w:type="spellStart"/>
      <w:r w:rsidRPr="00505043">
        <w:rPr>
          <w:color w:val="000000"/>
        </w:rPr>
        <w:t>decarbonization</w:t>
      </w:r>
      <w:proofErr w:type="spellEnd"/>
      <w:r w:rsidRPr="00505043">
        <w:rPr>
          <w:color w:val="000000"/>
        </w:rPr>
        <w:t xml:space="preserve"> and competitiveness.</w:t>
      </w:r>
      <w:proofErr w:type="gramEnd"/>
      <w:r w:rsidRPr="00505043">
        <w:rPr>
          <w:color w:val="000000"/>
        </w:rPr>
        <w:t xml:space="preserve"> Overcome skills and labour shortages and cut red tape.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It is a strategy to make growth faster, cleaner and more equitable, by ensuring that all Europeans can benefit from technological change.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And let me elaborate more on three foundations that will underpin this strategy.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First, Europe needs a deep and liquid capital market. European household savings reach almost €1.4 trillion, compared with just over €800 billion in the United States.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 xml:space="preserve">But European companies struggle to tap into that and </w:t>
      </w:r>
      <w:proofErr w:type="gramStart"/>
      <w:r w:rsidRPr="00505043">
        <w:rPr>
          <w:color w:val="000000"/>
        </w:rPr>
        <w:t>raise</w:t>
      </w:r>
      <w:proofErr w:type="gramEnd"/>
      <w:r w:rsidRPr="00505043">
        <w:rPr>
          <w:color w:val="000000"/>
        </w:rPr>
        <w:t xml:space="preserve"> the funding they need, because our domestic capital market is fragmented.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And because that pushes money overseas: €300 billion of European families’ savings are invested abroad every year. That is a key issue holding back the growth of our tech startups and hindering our innovative clean tech sector.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We do not lack capital. We lack an efficient capital market that turns savings into investments, particularly for early-stage technologies that have game-changing potential.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This is why we will create a </w:t>
      </w:r>
      <w:hyperlink r:id="rId6" w:history="1">
        <w:r w:rsidRPr="00505043">
          <w:rPr>
            <w:rStyle w:val="Hyperlink"/>
            <w:color w:val="0065F2"/>
            <w:u w:val="none"/>
            <w:bdr w:val="single" w:sz="2" w:space="0" w:color="auto" w:frame="1"/>
          </w:rPr>
          <w:t>European Savings and Investments Union</w:t>
        </w:r>
      </w:hyperlink>
      <w:r w:rsidRPr="00505043">
        <w:rPr>
          <w:color w:val="000000"/>
        </w:rPr>
        <w:t> – with new European saving and investment products, new incentives for risk capital and a new push to ensure the seamless flow of investment across our union.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We will mobilize more capital to let made-in-Europe innovation and risk-taking thrive.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Second, we must make business much easier all across Europe. Too much of our top talent is leaving the European Union because it is easier to grow their companies elsewhere.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And too many firms are holding back investment in Europe because of unnecessary red tape. We need to act at all levels – continental, national and local. And we want to lead the way at the European level.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 xml:space="preserve">For instance, we will launch a far-reaching simplification of our sustainable finance and due diligence rules. And we will make sure to create a </w:t>
      </w:r>
      <w:proofErr w:type="gramStart"/>
      <w:r w:rsidRPr="00505043">
        <w:rPr>
          <w:color w:val="000000"/>
        </w:rPr>
        <w:t>conducive</w:t>
      </w:r>
      <w:proofErr w:type="gramEnd"/>
      <w:r w:rsidRPr="00505043">
        <w:rPr>
          <w:color w:val="000000"/>
        </w:rPr>
        <w:t xml:space="preserve"> environment for our SMEs to scale up their capacity to build, produce and innovate in Europe.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But I want to go even further than this. Today, the European single market still has too many national barriers, so sometimes companies are dealing with 27 national legislations.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 xml:space="preserve">We will offer instead to innovative companies to operate all across our European Union </w:t>
      </w:r>
      <w:proofErr w:type="gramStart"/>
      <w:r w:rsidRPr="00505043">
        <w:rPr>
          <w:color w:val="000000"/>
        </w:rPr>
        <w:t>under</w:t>
      </w:r>
      <w:proofErr w:type="gramEnd"/>
      <w:r w:rsidRPr="00505043">
        <w:rPr>
          <w:color w:val="000000"/>
        </w:rPr>
        <w:t xml:space="preserve"> one single set of rules.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We call it the </w:t>
      </w:r>
      <w:hyperlink r:id="rId7" w:anchor=":~:text=The%2028th%20regime%20%E2%80%93%20an%20alternative,opinion%20on%2030%20March%202010." w:history="1">
        <w:r w:rsidRPr="00505043">
          <w:rPr>
            <w:rStyle w:val="Hyperlink"/>
            <w:color w:val="0065F2"/>
            <w:u w:val="none"/>
            <w:bdr w:val="single" w:sz="2" w:space="0" w:color="auto" w:frame="1"/>
          </w:rPr>
          <w:t>'28th regime'</w:t>
        </w:r>
      </w:hyperlink>
      <w:r w:rsidRPr="00505043">
        <w:rPr>
          <w:color w:val="000000"/>
        </w:rPr>
        <w:t xml:space="preserve">: corporate law, insolvency, labour law, </w:t>
      </w:r>
      <w:proofErr w:type="gramStart"/>
      <w:r w:rsidRPr="00505043">
        <w:rPr>
          <w:color w:val="000000"/>
        </w:rPr>
        <w:t>taxation</w:t>
      </w:r>
      <w:proofErr w:type="gramEnd"/>
      <w:r w:rsidRPr="00505043">
        <w:rPr>
          <w:color w:val="000000"/>
        </w:rPr>
        <w:t xml:space="preserve"> – one single and simple framework across our union.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 xml:space="preserve">This will help bring down the most common barriers to scaling up all across Europe. </w:t>
      </w:r>
      <w:proofErr w:type="gramStart"/>
      <w:r w:rsidRPr="00505043">
        <w:rPr>
          <w:color w:val="000000"/>
        </w:rPr>
        <w:t>Because continental scale is our greatest asset in a world of giants.</w:t>
      </w:r>
      <w:proofErr w:type="gramEnd"/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The third foundation is energy. Before the start of Putin’s war, Europe got 45% of its gas supplies and 50% of its coal imports from Russia. Russia was also one of our largest oil suppliers.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This energy appeared cheap, but it exposed us to blackmail. So when Putin’s tanks rolled into Ukraine, Putin cut us off his gas supplies.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And in return we substantially reduced our dependency on Russian fossil fuels in record time. Our gas imports from Russia went down by roughly 75%. And now we import from Russia only 3% of our oil, and no coal at all anymore.</w:t>
      </w:r>
    </w:p>
    <w:p w:rsidR="00505043" w:rsidRPr="00505043" w:rsidRDefault="00505043" w:rsidP="0050504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80" w:afterAutospacing="0"/>
        <w:ind w:left="-540" w:right="-720"/>
        <w:rPr>
          <w:color w:val="000000"/>
        </w:rPr>
      </w:pPr>
      <w:r w:rsidRPr="00505043">
        <w:rPr>
          <w:color w:val="000000"/>
        </w:rPr>
        <w:t>But freedom came at a price. Households and businesses saw sky-high energy costs and bills for many are yet to come down. Now, our competitiveness depends on getting back to low and stable energy prices.</w:t>
      </w:r>
      <w:bookmarkStart w:id="0" w:name="_GoBack"/>
      <w:bookmarkEnd w:id="0"/>
    </w:p>
    <w:p w:rsidR="009B3D60" w:rsidRDefault="009B3D60"/>
    <w:sectPr w:rsidR="009B3D60" w:rsidSect="005050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43"/>
    <w:rsid w:val="00505043"/>
    <w:rsid w:val="009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5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5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379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4884636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7584609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505928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775172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554624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1367834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375282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3495757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8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13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1530720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599924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22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971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3896637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823866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1298140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9389886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330818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9034324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4887997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975661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HTML/?uri=CELEX%3A52010IE07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anque-france.fr/en/strategie-monetaire/marches/union-epargne-investissement" TargetMode="External"/><Relationship Id="rId5" Type="http://schemas.openxmlformats.org/officeDocument/2006/relationships/hyperlink" Target="https://commission.europa.eu/priorities-2024-2029/competitiveness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2025-10-04T08:58:00Z</dcterms:created>
  <dcterms:modified xsi:type="dcterms:W3CDTF">2025-10-04T09:02:00Z</dcterms:modified>
</cp:coreProperties>
</file>