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CB9" w:rsidRDefault="00C03C2D">
      <w:pPr>
        <w:jc w:val="center"/>
        <w:rPr>
          <w:rFonts w:ascii="Times New Roman" w:eastAsia="Times New Roman" w:hAnsi="Times New Roman" w:cs="Times New Roman"/>
          <w:color w:val="141413"/>
          <w:sz w:val="40"/>
          <w:szCs w:val="40"/>
        </w:rPr>
      </w:pPr>
      <w:bookmarkStart w:id="0" w:name="_GoBack"/>
      <w:bookmarkEnd w:id="0"/>
      <w:r>
        <w:rPr>
          <w:rFonts w:ascii="Times New Roman" w:eastAsia="Times New Roman" w:hAnsi="Times New Roman" w:cs="Times New Roman"/>
          <w:color w:val="141413"/>
          <w:sz w:val="40"/>
          <w:szCs w:val="40"/>
        </w:rPr>
        <w:t>INDICE TABELAR</w:t>
      </w:r>
    </w:p>
    <w:p w:rsidR="00255CB9" w:rsidRDefault="00C03C2D">
      <w:pPr>
        <w:jc w:val="center"/>
        <w:rPr>
          <w:rFonts w:ascii="Times New Roman" w:eastAsia="Times New Roman" w:hAnsi="Times New Roman" w:cs="Times New Roman"/>
          <w:color w:val="141413"/>
          <w:sz w:val="26"/>
          <w:szCs w:val="26"/>
        </w:rPr>
      </w:pPr>
      <w:r>
        <w:rPr>
          <w:rFonts w:ascii="Times New Roman" w:eastAsia="Times New Roman" w:hAnsi="Times New Roman" w:cs="Times New Roman"/>
          <w:color w:val="141413"/>
          <w:sz w:val="26"/>
          <w:szCs w:val="26"/>
        </w:rPr>
        <w:t>Hotărâri ale Curții Europene a Drepturilor</w:t>
      </w:r>
    </w:p>
    <w:p w:rsidR="00255CB9" w:rsidRDefault="00C03C2D">
      <w:pPr>
        <w:jc w:val="center"/>
        <w:rPr>
          <w:rFonts w:ascii="Times New Roman" w:eastAsia="Times New Roman" w:hAnsi="Times New Roman" w:cs="Times New Roman"/>
          <w:color w:val="141413"/>
          <w:sz w:val="26"/>
          <w:szCs w:val="26"/>
        </w:rPr>
      </w:pPr>
      <w:r>
        <w:rPr>
          <w:rFonts w:ascii="Times New Roman" w:eastAsia="Times New Roman" w:hAnsi="Times New Roman" w:cs="Times New Roman"/>
          <w:color w:val="141413"/>
          <w:sz w:val="26"/>
          <w:szCs w:val="26"/>
        </w:rPr>
        <w:t>Omului, 2020 – prezent</w:t>
      </w:r>
    </w:p>
    <w:p w:rsidR="00255CB9" w:rsidRDefault="00255CB9">
      <w:pPr>
        <w:rPr>
          <w:rFonts w:ascii="Times New Roman" w:eastAsia="Times New Roman" w:hAnsi="Times New Roman" w:cs="Times New Roman"/>
          <w:sz w:val="24"/>
          <w:szCs w:val="24"/>
        </w:rPr>
      </w:pPr>
    </w:p>
    <w:tbl>
      <w:tblPr>
        <w:tblStyle w:val="a5"/>
        <w:tblW w:w="1573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010"/>
        <w:gridCol w:w="1620"/>
        <w:gridCol w:w="930"/>
        <w:gridCol w:w="1725"/>
        <w:gridCol w:w="6840"/>
        <w:gridCol w:w="1725"/>
      </w:tblGrid>
      <w:tr w:rsidR="00255CB9">
        <w:tc>
          <w:tcPr>
            <w:tcW w:w="885"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w:t>
            </w:r>
          </w:p>
        </w:tc>
        <w:tc>
          <w:tcPr>
            <w:tcW w:w="2010"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Domeniul</w:t>
            </w:r>
          </w:p>
        </w:tc>
        <w:tc>
          <w:tcPr>
            <w:tcW w:w="1620"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Data/Cauza </w:t>
            </w:r>
          </w:p>
        </w:tc>
        <w:tc>
          <w:tcPr>
            <w:tcW w:w="930"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Pag. </w:t>
            </w:r>
          </w:p>
        </w:tc>
        <w:tc>
          <w:tcPr>
            <w:tcW w:w="1725"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Cuvinte-cheie </w:t>
            </w:r>
          </w:p>
        </w:tc>
        <w:tc>
          <w:tcPr>
            <w:tcW w:w="6840"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Extras din hotărâre </w:t>
            </w:r>
          </w:p>
        </w:tc>
        <w:tc>
          <w:tcPr>
            <w:tcW w:w="1725" w:type="dxa"/>
            <w:shd w:val="clear" w:color="auto" w:fill="CCCCCC"/>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Aprecierea/</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Satisfacția </w:t>
            </w:r>
          </w:p>
        </w:tc>
      </w:tr>
      <w:tr w:rsidR="00255CB9">
        <w:trPr>
          <w:trHeight w:val="477"/>
        </w:trPr>
        <w:tc>
          <w:tcPr>
            <w:tcW w:w="15735" w:type="dxa"/>
            <w:gridSpan w:val="7"/>
            <w:shd w:val="clear" w:color="auto" w:fill="D9D9D9"/>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Articolul 6. Dreptul la un proces echitabil (procedura civilă)</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 Moldova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Limitarea accesului la justiție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12.10.2024 </w:t>
            </w:r>
          </w:p>
          <w:p w:rsidR="00255CB9" w:rsidRDefault="00C03C2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Cazul E.T.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17-20</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Accesul la justiție, instanță, boală mentală, capacitate juridică, discriminare, viață privată </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Articolul 6 § 1 garantează fiecărei persoane dreptul de a adresa oricare cerere referitoare la drepturile și obligațiile sale civile unei instanțe (a se vedea Golder împotriva Regatului Unit, 21 februarie 1975, § 36, Seria A nr. 18, și Stanev împotriva Bul</w:t>
            </w:r>
            <w:r>
              <w:rPr>
                <w:rFonts w:ascii="Times New Roman" w:eastAsia="Times New Roman" w:hAnsi="Times New Roman" w:cs="Times New Roman"/>
                <w:sz w:val="24"/>
                <w:szCs w:val="24"/>
              </w:rPr>
              <w:t>gariei [GC], nr. 36760/06, § 229, ECHR 2012, Nicolae Virgiliu Tănase împotriva României [GC], nr. 41720/13, § 192, 25 iunie 2019, cu referințe suplimentare). Acest „drept de acces la instanță”, din care face parte dreptul de a accesa justiția, poate fi inv</w:t>
            </w:r>
            <w:r>
              <w:rPr>
                <w:rFonts w:ascii="Times New Roman" w:eastAsia="Times New Roman" w:hAnsi="Times New Roman" w:cs="Times New Roman"/>
                <w:sz w:val="24"/>
                <w:szCs w:val="24"/>
              </w:rPr>
              <w:t>ocat de orice persoană care consideră că, pe temeiuri argumentabile, o ingerință în exercitarea drepturilor sale civile este ilegală și se plânge că nu i s-a oferit posibilitatea de a-și prezenta acea cerere unei instanțe care îndeplinește cerințele artico</w:t>
            </w:r>
            <w:r>
              <w:rPr>
                <w:rFonts w:ascii="Times New Roman" w:eastAsia="Times New Roman" w:hAnsi="Times New Roman" w:cs="Times New Roman"/>
                <w:sz w:val="24"/>
                <w:szCs w:val="24"/>
              </w:rPr>
              <w:t>lului 6 § 1 (a se vedea, printre altele, Roche împotriva Regatului Unit [GC], nr. 32555/96, § 117, ECHR 2005-X, și Salontaji-Drobnjak împotriva Serbiei, nr. 36500/05, § 132, 13 octombrie 2009.</w:t>
            </w:r>
          </w:p>
          <w:p w:rsidR="00255CB9" w:rsidRDefault="00C03C2D">
            <w:pPr>
              <w:widowControl w:val="0"/>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Dreptul de acces la instanță nu este absolut și poate fi supus </w:t>
            </w:r>
            <w:r>
              <w:rPr>
                <w:rFonts w:ascii="Times New Roman" w:eastAsia="Times New Roman" w:hAnsi="Times New Roman" w:cs="Times New Roman"/>
                <w:sz w:val="24"/>
                <w:szCs w:val="24"/>
              </w:rPr>
              <w:t xml:space="preserve">unor limitări; acestea sunt permise prin implicație, având în vedere că dreptul de acces, prin natura sa, necesită reglementare din partea statului, reglementare ce poate varia </w:t>
            </w:r>
            <w:r>
              <w:rPr>
                <w:rFonts w:ascii="Times New Roman" w:eastAsia="Times New Roman" w:hAnsi="Times New Roman" w:cs="Times New Roman"/>
                <w:sz w:val="24"/>
                <w:szCs w:val="24"/>
              </w:rPr>
              <w:lastRenderedPageBreak/>
              <w:t xml:space="preserve">în timp și în funcție de loc, în raport cu nevoile și resursele comunității și </w:t>
            </w:r>
            <w:r>
              <w:rPr>
                <w:rFonts w:ascii="Times New Roman" w:eastAsia="Times New Roman" w:hAnsi="Times New Roman" w:cs="Times New Roman"/>
                <w:sz w:val="24"/>
                <w:szCs w:val="24"/>
              </w:rPr>
              <w:t>ale indivizilor (a se vedea Ashingdane împotriva Regatului Unit, 28 mai 1985, § 57, Seria A nr. 93, și Bîzdîga împotriva Republicii Moldova, nr. 15646/18, § 40, 17 octombrie 2023). În stabilirea unei astfel de reglementări, statele semnatare beneficiază de</w:t>
            </w:r>
            <w:r>
              <w:rPr>
                <w:rFonts w:ascii="Times New Roman" w:eastAsia="Times New Roman" w:hAnsi="Times New Roman" w:cs="Times New Roman"/>
                <w:sz w:val="24"/>
                <w:szCs w:val="24"/>
              </w:rPr>
              <w:t xml:space="preserve"> o anumită marjă de apreciere. În timp ce decizia finală privind respectarea cerințelor Convenției revine Curții, nu face parte din funcția acesteia să înlocuiască evaluarea autorităților naționale cu o altă evaluare despre care ar putea fi considerat că r</w:t>
            </w:r>
            <w:r>
              <w:rPr>
                <w:rFonts w:ascii="Times New Roman" w:eastAsia="Times New Roman" w:hAnsi="Times New Roman" w:cs="Times New Roman"/>
                <w:sz w:val="24"/>
                <w:szCs w:val="24"/>
              </w:rPr>
              <w:t>eprezintă politica cea mai bună în acest domeniu. Totuși, limitările aplicate nu trebuie să restricționeze accesul lăsat individului într-un mod sau într-o măsură care să afecteze însăși esența dreptului. Mai mult, o limitare nu va fi compatibilă cu artico</w:t>
            </w:r>
            <w:r>
              <w:rPr>
                <w:rFonts w:ascii="Times New Roman" w:eastAsia="Times New Roman" w:hAnsi="Times New Roman" w:cs="Times New Roman"/>
                <w:sz w:val="24"/>
                <w:szCs w:val="24"/>
              </w:rPr>
              <w:t>lul 6 § 1 dacă nu urmărește un scop legitim și dacă nu există o relație rezonabilă de proporționalitate între mijloacele utilizate și scopul urmărit (a se vedea, printre altele, Cordova împotriva Italiei, nr. 40877/98, § 54, ECHR 2003-I, și recapitularea p</w:t>
            </w:r>
            <w:r>
              <w:rPr>
                <w:rFonts w:ascii="Times New Roman" w:eastAsia="Times New Roman" w:hAnsi="Times New Roman" w:cs="Times New Roman"/>
                <w:sz w:val="24"/>
                <w:szCs w:val="24"/>
              </w:rPr>
              <w:t>rincipiilor relevante în Fayed împotriva Regatului Unit, 21 septembrie 1994, § 65, Seria A nr. 294-B).</w:t>
            </w:r>
          </w:p>
          <w:p w:rsidR="00255CB9" w:rsidRDefault="00C03C2D">
            <w:pPr>
              <w:widowControl w:val="0"/>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la început că, în cazul de față, părțile nu au contestat aplicabilitatea articolului 6 la procedurile de restabilire a capacității legale.</w:t>
            </w:r>
            <w:r>
              <w:rPr>
                <w:rFonts w:ascii="Times New Roman" w:eastAsia="Times New Roman" w:hAnsi="Times New Roman" w:cs="Times New Roman"/>
                <w:sz w:val="24"/>
                <w:szCs w:val="24"/>
              </w:rPr>
              <w:t xml:space="preserve"> Reclamanta, care fusese complet privată de capacitatea sa de a acționa, s-a plâns că legea moldovenească nu i-a oferit acces direct la o instanță pentru a solicita restabilirea capacității sale legale. Curtea a avut ocazia să clarifice că procedurile pent</w:t>
            </w:r>
            <w:r>
              <w:rPr>
                <w:rFonts w:ascii="Times New Roman" w:eastAsia="Times New Roman" w:hAnsi="Times New Roman" w:cs="Times New Roman"/>
                <w:sz w:val="24"/>
                <w:szCs w:val="24"/>
              </w:rPr>
              <w:t>ru restabilirea capacității legale sunt direct decisive pentru stabilirea „drepturilor și obligațiilor civile” (a se vedea Matter împotriva Slovaciei, nr. 31534/96, § 51, 5 iulie 1999, și Stanev, citat mai sus, § 233). Astfel, articolul 6 § 1 din Convenție</w:t>
            </w:r>
            <w:r>
              <w:rPr>
                <w:rFonts w:ascii="Times New Roman" w:eastAsia="Times New Roman" w:hAnsi="Times New Roman" w:cs="Times New Roman"/>
                <w:sz w:val="24"/>
                <w:szCs w:val="24"/>
              </w:rPr>
              <w:t xml:space="preserve"> este aplicabil </w:t>
            </w:r>
            <w:r>
              <w:rPr>
                <w:rFonts w:ascii="Times New Roman" w:eastAsia="Times New Roman" w:hAnsi="Times New Roman" w:cs="Times New Roman"/>
                <w:sz w:val="24"/>
                <w:szCs w:val="24"/>
              </w:rPr>
              <w:lastRenderedPageBreak/>
              <w:t>în cazul de față.</w:t>
            </w:r>
          </w:p>
          <w:p w:rsidR="00255CB9" w:rsidRDefault="00C03C2D">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acest sens, Curtea observă că, deși Guvernul a susținut că nu a existat nicio ingerință în dreptul reclamantei de a accesa instanța, aceștia au recunoscut că, înainte de decizia Curții Constituționale din 17 noiembrie 2</w:t>
            </w:r>
            <w:r>
              <w:rPr>
                <w:rFonts w:ascii="Times New Roman" w:eastAsia="Times New Roman" w:hAnsi="Times New Roman" w:cs="Times New Roman"/>
                <w:sz w:val="24"/>
                <w:szCs w:val="24"/>
              </w:rPr>
              <w:t>016, persoanele incapabile, cum era și reclamanta, nu puteau intenta o acțiune în instanță pentru restabilirea capacității lor legale (a se vedea paragraful 38 de mai sus). Prin urmare, Curtea consideră că este stabilit că reclamanta nu a avut posibilitate</w:t>
            </w:r>
            <w:r>
              <w:rPr>
                <w:rFonts w:ascii="Times New Roman" w:eastAsia="Times New Roman" w:hAnsi="Times New Roman" w:cs="Times New Roman"/>
                <w:sz w:val="24"/>
                <w:szCs w:val="24"/>
              </w:rPr>
              <w:t>a de a solicita restabilirea capacității sale legale, decât prin intermediul tutorelui sau al unor oficiali (a se vedea paragrafele 15 și 16 de mai sus, în mod special articolul 308 din Codul de procedură civilă).</w:t>
            </w:r>
          </w:p>
          <w:p w:rsidR="00255CB9" w:rsidRDefault="00C03C2D">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aceste condiții, Curtea notează că legi</w:t>
            </w:r>
            <w:r>
              <w:rPr>
                <w:rFonts w:ascii="Times New Roman" w:eastAsia="Times New Roman" w:hAnsi="Times New Roman" w:cs="Times New Roman"/>
                <w:sz w:val="24"/>
                <w:szCs w:val="24"/>
              </w:rPr>
              <w:t>slația națională nu prevedea nicio posibilitate de revizuire periodică automată a temeiniciei măsurii de instituire a unui tutore, în ciuda cerinței din articolul 12 § 4 al CRPD ca măsurile ce restricționează capacitatea legală să fie supuse unei revizuiri</w:t>
            </w:r>
            <w:r>
              <w:rPr>
                <w:rFonts w:ascii="Times New Roman" w:eastAsia="Times New Roman" w:hAnsi="Times New Roman" w:cs="Times New Roman"/>
                <w:sz w:val="24"/>
                <w:szCs w:val="24"/>
              </w:rPr>
              <w:t xml:space="preserve"> periodice de către o autoritate competentă (a se vedea paragraful 22 de mai sus; a se vedea și Nikolyan împotriva Armeniei, nr. 74438/14, § 101, 3 octombrie 2019). În plus, în cazul reclamantei, măsura respectivă nu avea un termen limită.</w:t>
            </w:r>
          </w:p>
          <w:p w:rsidR="00255CB9" w:rsidRDefault="00C03C2D">
            <w:pPr>
              <w:widowControl w:val="0"/>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w:t>
            </w:r>
            <w:r>
              <w:rPr>
                <w:rFonts w:ascii="Times New Roman" w:eastAsia="Times New Roman" w:hAnsi="Times New Roman" w:cs="Times New Roman"/>
                <w:sz w:val="24"/>
                <w:szCs w:val="24"/>
              </w:rPr>
              <w:t xml:space="preserve">de asemenea, importanța pe care instrumentele internaționale pentru protecția persoanelor cu tulburări mentale  acordă acestora unui grad cât mai mare de autonomie legală posibilă (a se vedea paragrafele 22 și 23 de mai sus). În mod particular, o tendință </w:t>
            </w:r>
            <w:r>
              <w:rPr>
                <w:rFonts w:ascii="Times New Roman" w:eastAsia="Times New Roman" w:hAnsi="Times New Roman" w:cs="Times New Roman"/>
                <w:sz w:val="24"/>
                <w:szCs w:val="24"/>
              </w:rPr>
              <w:t>în creștere a fost înlocuirea sistemelor bazate pe privarea unei persoane de întreaga capacitate legală în „interesul său” cu un sistem de luare a deciziilor susținute, care este capabil să țină cont de voința și preferințele proprii ale persoanei. În aces</w:t>
            </w:r>
            <w:r>
              <w:rPr>
                <w:rFonts w:ascii="Times New Roman" w:eastAsia="Times New Roman" w:hAnsi="Times New Roman" w:cs="Times New Roman"/>
                <w:sz w:val="24"/>
                <w:szCs w:val="24"/>
              </w:rPr>
              <w:t xml:space="preserve">t context, se remarcă faptul că în cazul de față reclamanta a susținut că avea </w:t>
            </w:r>
            <w:r>
              <w:rPr>
                <w:rFonts w:ascii="Times New Roman" w:eastAsia="Times New Roman" w:hAnsi="Times New Roman" w:cs="Times New Roman"/>
                <w:sz w:val="24"/>
                <w:szCs w:val="24"/>
              </w:rPr>
              <w:lastRenderedPageBreak/>
              <w:t xml:space="preserve">relații tensionate cu tutorele său. Acesta ar fi putut experimenta un conflict de loialitate între, pe de o parte, fostul soț al reclamantei care sprijinea cererea de privare a </w:t>
            </w:r>
            <w:r>
              <w:rPr>
                <w:rFonts w:ascii="Times New Roman" w:eastAsia="Times New Roman" w:hAnsi="Times New Roman" w:cs="Times New Roman"/>
                <w:sz w:val="24"/>
                <w:szCs w:val="24"/>
              </w:rPr>
              <w:t>capacității legale și, pe de altă parte, reclamanta care sprijinea dorința de a-și recupera capacitatea (a se vedea Ivinović împotriva Croației, nr. 13006/13, § 45, 18 septembrie 2014). Totuși, reclamanta nu a avut mijloace directe de a iniția proceduri ju</w:t>
            </w:r>
            <w:r>
              <w:rPr>
                <w:rFonts w:ascii="Times New Roman" w:eastAsia="Times New Roman" w:hAnsi="Times New Roman" w:cs="Times New Roman"/>
                <w:sz w:val="24"/>
                <w:szCs w:val="24"/>
              </w:rPr>
              <w:t xml:space="preserve">diciare pentru a-și recupera capacitatea și instanțele au respins acțiunea în instanță introdusă de avocatul pe care îl împuternicise. </w:t>
            </w:r>
          </w:p>
          <w:p w:rsidR="00255CB9" w:rsidRDefault="00C03C2D">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cele de mai sus, Curtea consideră că imposibilitatea reclamantei de a solicita direct restabilirea capac</w:t>
            </w:r>
            <w:r>
              <w:rPr>
                <w:rFonts w:ascii="Times New Roman" w:eastAsia="Times New Roman" w:hAnsi="Times New Roman" w:cs="Times New Roman"/>
                <w:sz w:val="24"/>
                <w:szCs w:val="24"/>
              </w:rPr>
              <w:t>ității sale legale la momentul respectiv a fost un obstacol disproporționat care a afectat însăși esența dreptului reclamantei de a accesa o instanță.În consecință, a avut loc o încălcare a articolului 6 § 1 din Convenție.</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RM Încălcare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Prejudiciu moral 5 000 euro.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255CB9">
        <w:trPr>
          <w:trHeight w:val="440"/>
        </w:trPr>
        <w:tc>
          <w:tcPr>
            <w:tcW w:w="15735" w:type="dxa"/>
            <w:gridSpan w:val="7"/>
            <w:shd w:val="clear" w:color="auto" w:fill="D9D9D9"/>
            <w:tcMar>
              <w:top w:w="100" w:type="dxa"/>
              <w:left w:w="100" w:type="dxa"/>
              <w:bottom w:w="100" w:type="dxa"/>
              <w:right w:w="100" w:type="dxa"/>
            </w:tcMar>
          </w:tcPr>
          <w:p w:rsidR="00255CB9" w:rsidRDefault="00C03C2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Articolul 6. Dreptul la un proces echitabil (procedură penală)</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 Moldova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 echitabil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Respingerea cererii de reexaminare</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Condamnarea fiscală a S.R.L.</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22.10.2024</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TASONCOM S.R.L.</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Societate cu răspundere limitată,</w:t>
            </w:r>
          </w:p>
          <w:p w:rsidR="00255CB9" w:rsidRDefault="00C03C2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procedură fiscală,</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procedură penală, </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principiul securității juridice </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8"/>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constată mai întâi că nu este disputat între părți faptul că cele două proceduri, fiscală și penală, priveau aceleași fapte, respectiv deducțiil</w:t>
            </w:r>
            <w:r>
              <w:rPr>
                <w:rFonts w:ascii="Times New Roman" w:eastAsia="Times New Roman" w:hAnsi="Times New Roman" w:cs="Times New Roman"/>
                <w:sz w:val="24"/>
                <w:szCs w:val="24"/>
              </w:rPr>
              <w:t>e efectuate de societatea reclamantă în declarațiile sale fiscale pentru anii 2007 și 2008 referitoare la achizițiile de mărfuri de la furnizori neînregistrați în scopuri de TVA. Curtea nu vede niciun motiv pentru a ajunge la o altă concluzie. Astfel, Curt</w:t>
            </w:r>
            <w:r>
              <w:rPr>
                <w:rFonts w:ascii="Times New Roman" w:eastAsia="Times New Roman" w:hAnsi="Times New Roman" w:cs="Times New Roman"/>
                <w:sz w:val="24"/>
                <w:szCs w:val="24"/>
              </w:rPr>
              <w:t>ea constată că, în cazul de față, aceleași fapte imputate societății reclamante au fost examinate în cadrul a două proceduri, una fiscală și cealaltă penală.</w:t>
            </w:r>
          </w:p>
          <w:p w:rsidR="00255CB9" w:rsidRDefault="00C03C2D">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părțile nu sunt de acord cu interdependența celor două proceduri. Potrivit societății reclamante, acestea ar </w:t>
            </w:r>
            <w:r>
              <w:rPr>
                <w:rFonts w:ascii="Times New Roman" w:eastAsia="Times New Roman" w:hAnsi="Times New Roman" w:cs="Times New Roman"/>
                <w:sz w:val="24"/>
                <w:szCs w:val="24"/>
              </w:rPr>
              <w:lastRenderedPageBreak/>
              <w:t>trebui analizate ca făcând parte dintr-o singură procedură complexă, procedura fiscală fiind o extensie a procedurii penale. Guve</w:t>
            </w:r>
            <w:r>
              <w:rPr>
                <w:rFonts w:ascii="Times New Roman" w:eastAsia="Times New Roman" w:hAnsi="Times New Roman" w:cs="Times New Roman"/>
                <w:sz w:val="24"/>
                <w:szCs w:val="24"/>
              </w:rPr>
              <w:t>rnul, pe de altă parte, susține că cele două proceduri sunt independente, deși legate între ele, iar răspunderea fiscală este autonomă față de răspunderea penală propriu-zisă.</w:t>
            </w:r>
          </w:p>
          <w:p w:rsidR="00255CB9" w:rsidRDefault="00C03C2D">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constată că stabilirea faptelor de către autoritățile fiscale în actele l</w:t>
            </w:r>
            <w:r>
              <w:rPr>
                <w:rFonts w:ascii="Times New Roman" w:eastAsia="Times New Roman" w:hAnsi="Times New Roman" w:cs="Times New Roman"/>
                <w:sz w:val="24"/>
                <w:szCs w:val="24"/>
              </w:rPr>
              <w:t xml:space="preserve">or de control a fost preluată în ambele proceduri, iar decizia pronunțată de Curtea de Apel Chișinău la 12 septembrie 2012 în cadrul procedurii fiscale, care a devenit definitivă, a acordat un rol determinant condamnării penale a societății reclamante. La </w:t>
            </w:r>
            <w:r>
              <w:rPr>
                <w:rFonts w:ascii="Times New Roman" w:eastAsia="Times New Roman" w:hAnsi="Times New Roman" w:cs="Times New Roman"/>
                <w:sz w:val="24"/>
                <w:szCs w:val="24"/>
              </w:rPr>
              <w:t>acestea se adaugă legătura temporală, având în vedere că cele două proceduri au fost concomitente.</w:t>
            </w:r>
          </w:p>
          <w:p w:rsidR="00255CB9" w:rsidRDefault="00C03C2D">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Totuși, Curtea observă că, în decizia din 20 mai 2015 de respingere a cererii de revizuire a procedurii fiscale, Curtea Supremă de Justiție a clarificat că r</w:t>
            </w:r>
            <w:r>
              <w:rPr>
                <w:rFonts w:ascii="Times New Roman" w:eastAsia="Times New Roman" w:hAnsi="Times New Roman" w:cs="Times New Roman"/>
                <w:sz w:val="24"/>
                <w:szCs w:val="24"/>
              </w:rPr>
              <w:t>ăspunderea fiscală și răspunderea penală sunt distincte, considerându-le decuplate și autonome (paragraful 17 de mai sus). De asemenea, Curtea consideră că nu reiese cu certitudine din elementele de care dispune că cele două proceduri urmăreau scopuri comp</w:t>
            </w:r>
            <w:r>
              <w:rPr>
                <w:rFonts w:ascii="Times New Roman" w:eastAsia="Times New Roman" w:hAnsi="Times New Roman" w:cs="Times New Roman"/>
                <w:sz w:val="24"/>
                <w:szCs w:val="24"/>
              </w:rPr>
              <w:t>lementare sau că ele se refereau la aspecte diferite ale acțiunilor imputate societății reclamante, nici că combinarea procedurilor ar fi fost o consecință previzibilă în dreptul intern al faptelor respective. În orice caz, Curtea subliniază că Guvernul nu</w:t>
            </w:r>
            <w:r>
              <w:rPr>
                <w:rFonts w:ascii="Times New Roman" w:eastAsia="Times New Roman" w:hAnsi="Times New Roman" w:cs="Times New Roman"/>
                <w:sz w:val="24"/>
                <w:szCs w:val="24"/>
              </w:rPr>
              <w:t xml:space="preserve"> invocă acest argument și, dimpotrivă, susține teza celor două proceduri independente, așa cum a fost enunțată de Curtea Supremă de Justiție în decizia sa din 20 mai 2015. Astfel, Curtea consideră că nu s-a dovedit că cele două proceduri, fiscală și penală</w:t>
            </w:r>
            <w:r>
              <w:rPr>
                <w:rFonts w:ascii="Times New Roman" w:eastAsia="Times New Roman" w:hAnsi="Times New Roman" w:cs="Times New Roman"/>
                <w:sz w:val="24"/>
                <w:szCs w:val="24"/>
              </w:rPr>
              <w:t xml:space="preserve">, urmărite în speță, s-ar combina într-un întreg coerent. De asemenea, concluzionează că nu </w:t>
            </w:r>
            <w:r>
              <w:rPr>
                <w:rFonts w:ascii="Times New Roman" w:eastAsia="Times New Roman" w:hAnsi="Times New Roman" w:cs="Times New Roman"/>
                <w:sz w:val="24"/>
                <w:szCs w:val="24"/>
              </w:rPr>
              <w:lastRenderedPageBreak/>
              <w:t>există un link material suficient de strâns între cele două proceduri în cauză.</w:t>
            </w:r>
          </w:p>
          <w:p w:rsidR="00255CB9" w:rsidRDefault="00C03C2D">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urmare, Curtea consideră că a avut loc o repetare a procedurilor penale împotri</w:t>
            </w:r>
            <w:r>
              <w:rPr>
                <w:rFonts w:ascii="Times New Roman" w:eastAsia="Times New Roman" w:hAnsi="Times New Roman" w:cs="Times New Roman"/>
                <w:sz w:val="24"/>
                <w:szCs w:val="24"/>
              </w:rPr>
              <w:t>va societății reclamante pentru aceleași fapte.</w:t>
            </w:r>
          </w:p>
          <w:p w:rsidR="00255CB9" w:rsidRDefault="00C03C2D">
            <w:pPr>
              <w:widowControl w:val="0"/>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societatea reclamantă s-a aflat într-o situație în care, pentru aceleași fapte, a fost achitată definitiv în procedura penală, dar condamnată în procedura fiscală, care a fost considerată a </w:t>
            </w:r>
            <w:r>
              <w:rPr>
                <w:rFonts w:ascii="Times New Roman" w:eastAsia="Times New Roman" w:hAnsi="Times New Roman" w:cs="Times New Roman"/>
                <w:sz w:val="24"/>
                <w:szCs w:val="24"/>
              </w:rPr>
              <w:t>fi de natură penală în sensul articolului 6 din Convenție. În opinia Curții, această situație nu se conciliază ușor cu principiul securității raporturilor juridice, care face parte din articolul 6 din Convenție. În mod special, Curtea consideră că respinge</w:t>
            </w:r>
            <w:r>
              <w:rPr>
                <w:rFonts w:ascii="Times New Roman" w:eastAsia="Times New Roman" w:hAnsi="Times New Roman" w:cs="Times New Roman"/>
                <w:sz w:val="24"/>
                <w:szCs w:val="24"/>
              </w:rPr>
              <w:t>rea cererii de revizuire formulată de societatea reclamantă și menținerea condamnării pronunțate în procedura fiscală au privit achitarea sa definitivă în materie penală de cel puțin o parte din efectele utile și, prin urmare, au acționat împotriva sa. Cur</w:t>
            </w:r>
            <w:r>
              <w:rPr>
                <w:rFonts w:ascii="Times New Roman" w:eastAsia="Times New Roman" w:hAnsi="Times New Roman" w:cs="Times New Roman"/>
                <w:sz w:val="24"/>
                <w:szCs w:val="24"/>
              </w:rPr>
              <w:t>tea consideră, prin urmare, că obiectivul cerut de articolul 6 § 1 din Convenție nu a fost atins în cadrul procedurii fiscale împotriva societății reclamante.</w:t>
            </w:r>
          </w:p>
          <w:p w:rsidR="00255CB9" w:rsidRDefault="00C03C2D">
            <w:pPr>
              <w:widowControl w:val="0"/>
              <w:numPr>
                <w:ilvl w:val="0"/>
                <w:numId w:val="1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urma acestei constatări, Curtea consideră că nu este necesar să se pronunțe asupra altor argum</w:t>
            </w:r>
            <w:r>
              <w:rPr>
                <w:rFonts w:ascii="Times New Roman" w:eastAsia="Times New Roman" w:hAnsi="Times New Roman" w:cs="Times New Roman"/>
                <w:sz w:val="24"/>
                <w:szCs w:val="24"/>
              </w:rPr>
              <w:t>ente invocate de societatea reclamantă în temeiul articolului 6 § 1 din Convenție.</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RM Încălcare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Prejudiciu moral 4 700 euro.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Costuri și cheltuieli 2500 euro.</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 Moldova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 echitabil </w:t>
            </w:r>
          </w:p>
          <w:p w:rsidR="00255CB9" w:rsidRDefault="00255CB9">
            <w:pPr>
              <w:widowControl w:val="0"/>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Prezumția nevinovăției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08.10.2024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Cosovan</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12-16</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Prezumția nevinovăției, confiscare, pedeapsă, Încetarea urmăririi penale, văduvă, soț decedat</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reiterează faptul că prezumția de nevinovăție nu se aplică doar în contextul procedurilor penale aflate în desfășurare, ci protejează și persoanele față de</w:t>
            </w:r>
            <w:r>
              <w:rPr>
                <w:rFonts w:ascii="Times New Roman" w:eastAsia="Times New Roman" w:hAnsi="Times New Roman" w:cs="Times New Roman"/>
                <w:sz w:val="24"/>
                <w:szCs w:val="24"/>
              </w:rPr>
              <w:t xml:space="preserve"> care procedurile penale au fost întrerupte, astfel încât acestea să nu fie tratate de oficiali și autorități publice ca și cum ar fi vinovate de infracțiunea de care erau acuzate (a se vedea Bikas împotriva Germaniei, nr. 76607/13, § 31, 25 ianuarie 2018,</w:t>
            </w:r>
            <w:r>
              <w:rPr>
                <w:rFonts w:ascii="Times New Roman" w:eastAsia="Times New Roman" w:hAnsi="Times New Roman" w:cs="Times New Roman"/>
                <w:sz w:val="24"/>
                <w:szCs w:val="24"/>
              </w:rPr>
              <w:t xml:space="preserve"> și Allen, citată mai sus, § 94).</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Protecția oferită de articolul 6 § 2 în aspectul său al prezumției de nevinovăție nu trebuie interpretată astfel încât să împiedice instanțele naționale să abordeze aceleași fapte care au fost decise în cadrul unei procedu</w:t>
            </w:r>
            <w:r>
              <w:rPr>
                <w:rFonts w:ascii="Times New Roman" w:eastAsia="Times New Roman" w:hAnsi="Times New Roman" w:cs="Times New Roman"/>
                <w:sz w:val="24"/>
                <w:szCs w:val="24"/>
              </w:rPr>
              <w:t>ri penale anterioare, cu condiția ca, în acest demers, acestea să nu impute răspunderea penală persoanei în cauză. O persoană care a fost achitată sau față de care procedurile penale au fost întrerupte rămâne supusă aplicării normale a normelor interne ref</w:t>
            </w:r>
            <w:r>
              <w:rPr>
                <w:rFonts w:ascii="Times New Roman" w:eastAsia="Times New Roman" w:hAnsi="Times New Roman" w:cs="Times New Roman"/>
                <w:sz w:val="24"/>
                <w:szCs w:val="24"/>
              </w:rPr>
              <w:t>eritoare la dovezi și standardul de probă în afara proceselor penale.</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conform legislației moldovenești, confiscarea specială era o măsură de prevenire care putea fi dispusă chiar și atunci când răspunderea penală sau o sancțiune penală n</w:t>
            </w:r>
            <w:r>
              <w:rPr>
                <w:rFonts w:ascii="Times New Roman" w:eastAsia="Times New Roman" w:hAnsi="Times New Roman" w:cs="Times New Roman"/>
                <w:sz w:val="24"/>
                <w:szCs w:val="24"/>
              </w:rPr>
              <w:t>u fuseseră stabilite. Confiscarea specială nu era inclusă în lista sancțiunilor penale prevăzute de Codul Penal. Totuși, aplicarea sa generală la „bunuri folosite în comiterea unei infracțiuni sau obținute ca urmare a unei infracțiuni” și, în cazul reclama</w:t>
            </w:r>
            <w:r>
              <w:rPr>
                <w:rFonts w:ascii="Times New Roman" w:eastAsia="Times New Roman" w:hAnsi="Times New Roman" w:cs="Times New Roman"/>
                <w:sz w:val="24"/>
                <w:szCs w:val="24"/>
              </w:rPr>
              <w:t>ntului, la bunuri „rezultate dintr-un act interzis de acest Cod”, pare să depindă de existența unui act ilegal. În opinia Curții, prin urmare, nu există nimic în legislația relevantă care să claseze măsura ca pe o sancțiune (contrast G.I.E.M. S.r.l. și alț</w:t>
            </w:r>
            <w:r>
              <w:rPr>
                <w:rFonts w:ascii="Times New Roman" w:eastAsia="Times New Roman" w:hAnsi="Times New Roman" w:cs="Times New Roman"/>
                <w:sz w:val="24"/>
                <w:szCs w:val="24"/>
              </w:rPr>
              <w:t>ii împotriva Italiei [GC], nr. 1828/06 și alte 2 cauze, §§ 220-221, 28 iunie 2018).</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mai observă că autoritățile interne au făcut referire la articolul 106 §§ 1 și 2 (a) din Codul Penal atunci când au dispus confiscarea specială în privința reclamantului. Primul alineat definește confiscarea specială ca fiind confiscarea „bunurilor </w:t>
            </w:r>
            <w:r>
              <w:rPr>
                <w:rFonts w:ascii="Times New Roman" w:eastAsia="Times New Roman" w:hAnsi="Times New Roman" w:cs="Times New Roman"/>
                <w:sz w:val="24"/>
                <w:szCs w:val="24"/>
              </w:rPr>
              <w:t>folosite în comiterea unei infracțiuni sau obținute ca urmare a unei infracțiuni”, iar al doilea alineat enumeră diferite categorii de bunuri supuse confiscării (a se vedea paragraful 14 mai sus). În cazul reclamantului, acestea erau bunuri „rezultate dint</w:t>
            </w:r>
            <w:r>
              <w:rPr>
                <w:rFonts w:ascii="Times New Roman" w:eastAsia="Times New Roman" w:hAnsi="Times New Roman" w:cs="Times New Roman"/>
                <w:sz w:val="24"/>
                <w:szCs w:val="24"/>
              </w:rPr>
              <w:t xml:space="preserve">r-un act interzis de acest Cod”. Această </w:t>
            </w:r>
            <w:r>
              <w:rPr>
                <w:rFonts w:ascii="Times New Roman" w:eastAsia="Times New Roman" w:hAnsi="Times New Roman" w:cs="Times New Roman"/>
                <w:sz w:val="24"/>
                <w:szCs w:val="24"/>
              </w:rPr>
              <w:lastRenderedPageBreak/>
              <w:t>dispoziție se referă la un act ilegal și nu la o infracțiune în sine, spre deosebire de dispoziția similară din litera (d) a aceluiași alineat: „[bunuri] obținute prin comiterea unei infracțiuni”. Această distincție</w:t>
            </w:r>
            <w:r>
              <w:rPr>
                <w:rFonts w:ascii="Times New Roman" w:eastAsia="Times New Roman" w:hAnsi="Times New Roman" w:cs="Times New Roman"/>
                <w:sz w:val="24"/>
                <w:szCs w:val="24"/>
              </w:rPr>
              <w:t xml:space="preserve"> reflectă definiția unei infracțiuni în articolul 14 din Codul Penal ca fiind „un act” (fapta) comis cu „intenție” (cu vinovăție). În cazul reclamantului, măsura s-a limitat la suma efectivă de îmbogățire obținută din activitatea neautorizată, fără a inclu</w:t>
            </w:r>
            <w:r>
              <w:rPr>
                <w:rFonts w:ascii="Times New Roman" w:eastAsia="Times New Roman" w:hAnsi="Times New Roman" w:cs="Times New Roman"/>
                <w:sz w:val="24"/>
                <w:szCs w:val="24"/>
              </w:rPr>
              <w:t>de presupuneri legale care să afecteze alte aspecte ale veniturilor sale din orice perioadă. Ordinul de confiscare a fost supus executării conform normelor pentru executarea premiilor civile, care nu permiteau executarea prin încarcerare în caz de neplată.</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urmare, măsura pare a fi orientată împotriva proprietății și nu a persoanei și a fost destinată să prevină utilizarea bunurilor provenite dintr-un act ilegal, fiind comparabilă cu instituția confiscării civile în rem și nu era afectată de expirarea t</w:t>
            </w:r>
            <w:r>
              <w:rPr>
                <w:rFonts w:ascii="Times New Roman" w:eastAsia="Times New Roman" w:hAnsi="Times New Roman" w:cs="Times New Roman"/>
                <w:sz w:val="24"/>
                <w:szCs w:val="24"/>
              </w:rPr>
              <w:t xml:space="preserve">ermenului de prescripție (a se vedea Ulemek împotriva Serbiei (dec.), citată mai sus, § 50, și Balsamo împotriva San Marino, nr. 20319/17 și 21414/17, § 62, 8 octombrie 2019). În consecință, impunerea unui ordin de confiscare nu a echivalat cu o sancțiune </w:t>
            </w:r>
            <w:r>
              <w:rPr>
                <w:rFonts w:ascii="Times New Roman" w:eastAsia="Times New Roman" w:hAnsi="Times New Roman" w:cs="Times New Roman"/>
                <w:sz w:val="24"/>
                <w:szCs w:val="24"/>
              </w:rPr>
              <w:t>și nu a necesitat ca autoritățile interne, conform dreptului național, să stabilească vinovăția reclamantului pentru comiterea unei infracțiuni.</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această privință, Curtea observă că, referitor la raționamentele oferite de autoritățile interne, atunci cân</w:t>
            </w:r>
            <w:r>
              <w:rPr>
                <w:rFonts w:ascii="Times New Roman" w:eastAsia="Times New Roman" w:hAnsi="Times New Roman" w:cs="Times New Roman"/>
                <w:sz w:val="24"/>
                <w:szCs w:val="24"/>
              </w:rPr>
              <w:t>d sunt analizate în ansamblu și în contextul exercițiului pe care acestea erau obligate să îl realizeze conform legii interne (compară cu Nealon și Hallam, ibid.), reclamantul nu s-a plâns de nicio declarație particulară făcută de autorități. Totuși, Curte</w:t>
            </w:r>
            <w:r>
              <w:rPr>
                <w:rFonts w:ascii="Times New Roman" w:eastAsia="Times New Roman" w:hAnsi="Times New Roman" w:cs="Times New Roman"/>
                <w:sz w:val="24"/>
                <w:szCs w:val="24"/>
              </w:rPr>
              <w:t xml:space="preserve">a observă că decizia procurorului conține afirmații precum faptul că ancheta a adunat suficiente dovezi „pentru a </w:t>
            </w:r>
            <w:r>
              <w:rPr>
                <w:rFonts w:ascii="Times New Roman" w:eastAsia="Times New Roman" w:hAnsi="Times New Roman" w:cs="Times New Roman"/>
                <w:sz w:val="24"/>
                <w:szCs w:val="24"/>
              </w:rPr>
              <w:lastRenderedPageBreak/>
              <w:t>confirma suspiciunea” că „venitul în valoare de MDL 116.428 a fost obținut de [reclamant] ca urmare a [unei] infracțiuni” și a dispus confisca</w:t>
            </w:r>
            <w:r>
              <w:rPr>
                <w:rFonts w:ascii="Times New Roman" w:eastAsia="Times New Roman" w:hAnsi="Times New Roman" w:cs="Times New Roman"/>
                <w:sz w:val="24"/>
                <w:szCs w:val="24"/>
              </w:rPr>
              <w:t>rea banilor de la reclamant ca „bani obținuți ca urmare a infracțiunii” (a se vedea paragraful 7 mai sus). În mod similar, decizia judecătorului de instrucție conține afirmații că ancheta a stabilit că „venitul în valoare de MDL 116.428 a fost obținut de [</w:t>
            </w:r>
            <w:r>
              <w:rPr>
                <w:rFonts w:ascii="Times New Roman" w:eastAsia="Times New Roman" w:hAnsi="Times New Roman" w:cs="Times New Roman"/>
                <w:sz w:val="24"/>
                <w:szCs w:val="24"/>
              </w:rPr>
              <w:t>reclamant] ca urmare a [unei] infracțiuni”.</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reiterează că trebuie acordată o atenție deosebită formulării raționamentului într-o decizie de confiscare după întreruperea procedurilor penale (a se vedea Fleischner împotriva Germaniei, nr. 61985/12, §§</w:t>
            </w:r>
            <w:r>
              <w:rPr>
                <w:rFonts w:ascii="Times New Roman" w:eastAsia="Times New Roman" w:hAnsi="Times New Roman" w:cs="Times New Roman"/>
                <w:sz w:val="24"/>
                <w:szCs w:val="24"/>
              </w:rPr>
              <w:t xml:space="preserve"> 64 și 69, 3 octombrie 2019). Totuși, afirmațiile în cauză nu pot fi interpretate ca o afirmare explicită a imputării răspunderii pentru infracțiunea respectivă reclamantului. Curtea observă că confiscarea a fost dispusă odată cu încetarea procedurii penal</w:t>
            </w:r>
            <w:r>
              <w:rPr>
                <w:rFonts w:ascii="Times New Roman" w:eastAsia="Times New Roman" w:hAnsi="Times New Roman" w:cs="Times New Roman"/>
                <w:sz w:val="24"/>
                <w:szCs w:val="24"/>
              </w:rPr>
              <w:t>e ca fiind prescrisă și, prin urmare, a fost accesorie acestei proceduri. În conformitate cu dreptul intern, o decizie de confiscare nu putea fi luată înainte de pronunțarea unei decizii de achitare, de condamnare sau de încetare a urmăririi penale.</w:t>
            </w:r>
          </w:p>
          <w:p w:rsidR="00255CB9" w:rsidRDefault="00C03C2D">
            <w:pPr>
              <w:widowControl w:val="0"/>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w:t>
            </w:r>
            <w:r>
              <w:rPr>
                <w:rFonts w:ascii="Times New Roman" w:eastAsia="Times New Roman" w:hAnsi="Times New Roman" w:cs="Times New Roman"/>
                <w:sz w:val="24"/>
                <w:szCs w:val="24"/>
              </w:rPr>
              <w:t xml:space="preserve"> nu poate considera nerezonabil ca autoritățile interne să fi furnizat detalii privind comportamentul ilegal care a dus, conform susținerilor lor, la achiziționarea banilor contestați și să se fi referit la un link între acest comportament și bunurile în c</w:t>
            </w:r>
            <w:r>
              <w:rPr>
                <w:rFonts w:ascii="Times New Roman" w:eastAsia="Times New Roman" w:hAnsi="Times New Roman" w:cs="Times New Roman"/>
                <w:sz w:val="24"/>
                <w:szCs w:val="24"/>
              </w:rPr>
              <w:t>auză. Dimpotrivă, în lumina jurisprudenței Curții referitoare la confiscarea veniturilor din infracțiune, autoritățile aveau obligația de a oferi o astfel de evaluare pentru a respecta cerințele Convenției (a se vedea un rezumat al jurisprudenței în Yordan</w:t>
            </w:r>
            <w:r>
              <w:rPr>
                <w:rFonts w:ascii="Times New Roman" w:eastAsia="Times New Roman" w:hAnsi="Times New Roman" w:cs="Times New Roman"/>
                <w:sz w:val="24"/>
                <w:szCs w:val="24"/>
              </w:rPr>
              <w:t xml:space="preserve">ov și alții împotriva Bulgariei, nr. 265/17 și 26473/18, §§ 123-124, 26 septembrie 2023, și Todorov și alții împotriva Bulgariei, nr. 50705/11 și alte 6 </w:t>
            </w:r>
            <w:r>
              <w:rPr>
                <w:rFonts w:ascii="Times New Roman" w:eastAsia="Times New Roman" w:hAnsi="Times New Roman" w:cs="Times New Roman"/>
                <w:sz w:val="24"/>
                <w:szCs w:val="24"/>
              </w:rPr>
              <w:lastRenderedPageBreak/>
              <w:t>cauze, §§ 190-199, 13 iulie 2021).</w:t>
            </w:r>
          </w:p>
          <w:p w:rsidR="00255CB9" w:rsidRDefault="00C03C2D">
            <w:pPr>
              <w:widowControl w:val="0"/>
              <w:numPr>
                <w:ilvl w:val="0"/>
                <w:numId w:val="2"/>
              </w:numPr>
              <w:spacing w:after="240" w:line="240" w:lineRule="auto"/>
              <w:jc w:val="both"/>
            </w:pPr>
            <w:r>
              <w:rPr>
                <w:rFonts w:ascii="Times New Roman" w:eastAsia="Times New Roman" w:hAnsi="Times New Roman" w:cs="Times New Roman"/>
                <w:sz w:val="24"/>
                <w:szCs w:val="24"/>
              </w:rPr>
              <w:t>Având în vedere cele de mai sus, Curtea concluzionează că, pe baza u</w:t>
            </w:r>
            <w:r>
              <w:rPr>
                <w:rFonts w:ascii="Times New Roman" w:eastAsia="Times New Roman" w:hAnsi="Times New Roman" w:cs="Times New Roman"/>
                <w:sz w:val="24"/>
                <w:szCs w:val="24"/>
              </w:rPr>
              <w:t>nei evaluări corecte a dreptului intern și citită în contextul deciziei ca întreg, ordinul de confiscare specială, care se referea la originea ilegală a bunurilor supuse confiscării, nu putea fi înțeles în mod rezonabil ca o afirmare a vinovăției conform s</w:t>
            </w:r>
            <w:r>
              <w:rPr>
                <w:rFonts w:ascii="Times New Roman" w:eastAsia="Times New Roman" w:hAnsi="Times New Roman" w:cs="Times New Roman"/>
                <w:sz w:val="24"/>
                <w:szCs w:val="24"/>
              </w:rPr>
              <w:t>tandardului penal al comiterii unei infracțiuni.Prin urmare, nu s-a constatat nicio încălcare a articolului 6 § 2 din Convenție.</w:t>
            </w:r>
          </w:p>
        </w:tc>
        <w:tc>
          <w:tcPr>
            <w:tcW w:w="1725" w:type="dxa"/>
            <w:shd w:val="clear" w:color="auto" w:fill="auto"/>
            <w:tcMar>
              <w:top w:w="100" w:type="dxa"/>
              <w:left w:w="100" w:type="dxa"/>
              <w:bottom w:w="100" w:type="dxa"/>
              <w:right w:w="100" w:type="dxa"/>
            </w:tcMar>
          </w:tcPr>
          <w:p w:rsidR="00255CB9" w:rsidRDefault="00C03C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CtEDO declară, în unanimitate, că văduva reclamantului are calitatea procesuală activă pentru a </w:t>
            </w:r>
            <w:r>
              <w:rPr>
                <w:rFonts w:ascii="Times New Roman" w:eastAsia="Times New Roman" w:hAnsi="Times New Roman" w:cs="Times New Roman"/>
                <w:sz w:val="24"/>
                <w:szCs w:val="24"/>
              </w:rPr>
              <w:lastRenderedPageBreak/>
              <w:t xml:space="preserve">exercita acțiunea introdusă în </w:t>
            </w:r>
            <w:r>
              <w:rPr>
                <w:rFonts w:ascii="Times New Roman" w:eastAsia="Times New Roman" w:hAnsi="Times New Roman" w:cs="Times New Roman"/>
                <w:sz w:val="24"/>
                <w:szCs w:val="24"/>
              </w:rPr>
              <w:t>instanță  de către defunctul său soț</w:t>
            </w:r>
          </w:p>
          <w:p w:rsidR="00255CB9" w:rsidRDefault="00255CB9">
            <w:pPr>
              <w:widowControl w:val="0"/>
              <w:spacing w:line="240" w:lineRule="auto"/>
              <w:rPr>
                <w:rFonts w:ascii="Times New Roman" w:eastAsia="Times New Roman" w:hAnsi="Times New Roman" w:cs="Times New Roman"/>
                <w:sz w:val="24"/>
                <w:szCs w:val="24"/>
              </w:rPr>
            </w:pPr>
          </w:p>
          <w:p w:rsidR="00255CB9" w:rsidRDefault="00C03C2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Hotărăște, cu patru voturi pentru și trei împotrivă, că nu există nicio încălcare a articolului 6 § 2 din Convenție.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55CB9">
        <w:trPr>
          <w:trHeight w:val="440"/>
        </w:trPr>
        <w:tc>
          <w:tcPr>
            <w:tcW w:w="15735" w:type="dxa"/>
            <w:gridSpan w:val="7"/>
            <w:shd w:val="clear" w:color="auto" w:fill="D9D9D9"/>
            <w:tcMar>
              <w:top w:w="100" w:type="dxa"/>
              <w:left w:w="100" w:type="dxa"/>
              <w:bottom w:w="100" w:type="dxa"/>
              <w:right w:w="100" w:type="dxa"/>
            </w:tcMar>
          </w:tcPr>
          <w:p w:rsidR="00255CB9" w:rsidRDefault="00C03C2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Articolul 6. Dreptul la un proces echitabil (procedura civilă)</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 Moldova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Accesul la o instanță</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Contestarea reală și serioasă a unui drept</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24.10.2023 </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Stoianoglo</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Procuror general, suspendare, Consiliul Superior al Procurorilor, independență, procurori</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20"/>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reamintește că dreptul de acces la un tribunal nu este absolut.</w:t>
            </w:r>
            <w:r>
              <w:rPr>
                <w:rFonts w:ascii="Times New Roman" w:eastAsia="Times New Roman" w:hAnsi="Times New Roman" w:cs="Times New Roman"/>
                <w:sz w:val="24"/>
                <w:szCs w:val="24"/>
              </w:rPr>
              <w:t xml:space="preserve"> Acesta poate fi supus unor restricții, cu condiția ca aceste restricții să nu limiteze sau să reducă accesul justițiabililor la instanță într-un mod care să atingă substanța însăși a acestui drept. În plus, aceste restricții sunt compatibile cu articolul </w:t>
            </w:r>
            <w:r>
              <w:rPr>
                <w:rFonts w:ascii="Times New Roman" w:eastAsia="Times New Roman" w:hAnsi="Times New Roman" w:cs="Times New Roman"/>
                <w:sz w:val="24"/>
                <w:szCs w:val="24"/>
              </w:rPr>
              <w:t>6 § 1 doar dacă urmăresc un scop legitim și există un raport rezonabil de proporționalitate între mijloacele folosite și scopul urmărit (Baka, citat anterior, § 120, și jurisprudența citată acolo).</w:t>
            </w:r>
          </w:p>
          <w:p w:rsidR="00255CB9" w:rsidRDefault="00C03C2D">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împreună cu Guvernul, Curtea Constituțională și Comisia de la Veneția, că măsura de suspendare, în sine, putea, în principiu, fi justificată de calitatea de procuror general a reclamantului, care îi conferea puteri extinse de control asupra</w:t>
            </w:r>
            <w:r>
              <w:rPr>
                <w:rFonts w:ascii="Times New Roman" w:eastAsia="Times New Roman" w:hAnsi="Times New Roman" w:cs="Times New Roman"/>
                <w:sz w:val="24"/>
                <w:szCs w:val="24"/>
              </w:rPr>
              <w:t xml:space="preserve"> anchetelor penale și că aplicarea unei astfel de măsuri față de un procuror general nu ridică, în sine, probleme în raport cu Convenția .</w:t>
            </w:r>
          </w:p>
          <w:p w:rsidR="00255CB9" w:rsidRDefault="00C03C2D">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reamintește – așa cum a subliniat și Comisia de la </w:t>
            </w:r>
            <w:r>
              <w:rPr>
                <w:rFonts w:ascii="Times New Roman" w:eastAsia="Times New Roman" w:hAnsi="Times New Roman" w:cs="Times New Roman"/>
                <w:sz w:val="24"/>
                <w:szCs w:val="24"/>
              </w:rPr>
              <w:lastRenderedPageBreak/>
              <w:t xml:space="preserve">Veneția – că trebuie instituite garanții procesuale pentru </w:t>
            </w:r>
            <w:r>
              <w:rPr>
                <w:rFonts w:ascii="Times New Roman" w:eastAsia="Times New Roman" w:hAnsi="Times New Roman" w:cs="Times New Roman"/>
                <w:sz w:val="24"/>
                <w:szCs w:val="24"/>
              </w:rPr>
              <w:t>a se asigura că mecanismul de suspendare nu este folosit într-un mod arbitrar. În acest context, Curtea subliniază, de asemenea, importanța tot mai mare a echității procesuale în cazurile care implică revocarea procurorilor, inclusiv intervenția unei autor</w:t>
            </w:r>
            <w:r>
              <w:rPr>
                <w:rFonts w:ascii="Times New Roman" w:eastAsia="Times New Roman" w:hAnsi="Times New Roman" w:cs="Times New Roman"/>
                <w:sz w:val="24"/>
                <w:szCs w:val="24"/>
              </w:rPr>
              <w:t>ități independente de executiv și legislativ în ceea ce privește deciziile care afectează numirea și revocarea procurorilor (Kövesi, citată anterior, § 156).</w:t>
            </w:r>
          </w:p>
          <w:p w:rsidR="00255CB9" w:rsidRDefault="00C03C2D">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speță, Curtea nu poate decât să constate că reclamantul nu a beneficiat de niciun fel de protec</w:t>
            </w:r>
            <w:r>
              <w:rPr>
                <w:rFonts w:ascii="Times New Roman" w:eastAsia="Times New Roman" w:hAnsi="Times New Roman" w:cs="Times New Roman"/>
                <w:sz w:val="24"/>
                <w:szCs w:val="24"/>
              </w:rPr>
              <w:t>ție judiciară în ceea ce privește măsura de suspendare a funcțiilor care l-a vizat, măsură care l-a privat timp de mai bine de doi ani de posibilitatea de a-și exercita funcțiile de procuror general și de a primi salariile corespunzătoare (a se vedea, muta</w:t>
            </w:r>
            <w:r>
              <w:rPr>
                <w:rFonts w:ascii="Times New Roman" w:eastAsia="Times New Roman" w:hAnsi="Times New Roman" w:cs="Times New Roman"/>
                <w:sz w:val="24"/>
                <w:szCs w:val="24"/>
              </w:rPr>
              <w:t>tis mutandis, Paluda, §§ 52-53 și Camelia Bogdan).</w:t>
            </w:r>
          </w:p>
          <w:p w:rsidR="00255CB9" w:rsidRDefault="00C03C2D">
            <w:pPr>
              <w:widowControl w:val="0"/>
              <w:numPr>
                <w:ilvl w:val="0"/>
                <w:numId w:val="2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aceste condiții, Curtea consideră că statul pârât a adus atingere substanței însăși a dreptului reclamantului de a avea acces la un tribunal (a se vedea, mutatis mutandis, Paluda, § 46-55, Camelia Bogda</w:t>
            </w:r>
            <w:r>
              <w:rPr>
                <w:rFonts w:ascii="Times New Roman" w:eastAsia="Times New Roman" w:hAnsi="Times New Roman" w:cs="Times New Roman"/>
                <w:sz w:val="24"/>
                <w:szCs w:val="24"/>
              </w:rPr>
              <w:t>n, §§ 71-79 și Kovesi §§ 156-158, toate citate anterior).</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RM Încălcare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Prejudiciu moral de 3 600 euro</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Republica Moldova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Accesul la instanță</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Refuzul instanțelor naționale de a examina fondul </w:t>
            </w:r>
            <w:r>
              <w:rPr>
                <w:rFonts w:ascii="Times New Roman" w:eastAsia="Times New Roman" w:hAnsi="Times New Roman" w:cs="Times New Roman"/>
                <w:sz w:val="24"/>
                <w:szCs w:val="24"/>
              </w:rPr>
              <w:lastRenderedPageBreak/>
              <w:t>cererii</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17.10.2023</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Bîzdîga</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Custodie, fiu, circumstanțe de fapt noi,  examinare veritabilă</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2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Curtea menționează că interpretarea și aplicarea dreptului intern revine autorităților naționale, în special instanțelor judecătorești [a se vedea, printre multe alte autorități, Kruslin c. Fr</w:t>
            </w:r>
            <w:r>
              <w:rPr>
                <w:rFonts w:ascii="Times New Roman" w:eastAsia="Times New Roman" w:hAnsi="Times New Roman" w:cs="Times New Roman"/>
                <w:sz w:val="24"/>
                <w:szCs w:val="24"/>
              </w:rPr>
              <w:t>anței, 24 aprilie 1990, § 29, Seria A nr. 176-A; Kopp c. Elveției, 25 martie 1998, § 59, Reports of Judgments and Decisions 1998-II; și Nusret Kaya și alții c. Turciei, nr. 43750/06 și altele 4, § 38, CEDO 2014 (extrase)]. Rezultă că Curtea nu poate pune s</w:t>
            </w:r>
            <w:r>
              <w:rPr>
                <w:rFonts w:ascii="Times New Roman" w:eastAsia="Times New Roman" w:hAnsi="Times New Roman" w:cs="Times New Roman"/>
                <w:sz w:val="24"/>
                <w:szCs w:val="24"/>
              </w:rPr>
              <w:t xml:space="preserve">ub semnul întrebării constatările autorităților interne cu privire la presupuse erori de drept intern, cu excepția cazului în care acestea sunt arbitrare sau </w:t>
            </w:r>
            <w:r>
              <w:rPr>
                <w:rFonts w:ascii="Times New Roman" w:eastAsia="Times New Roman" w:hAnsi="Times New Roman" w:cs="Times New Roman"/>
                <w:sz w:val="24"/>
                <w:szCs w:val="24"/>
              </w:rPr>
              <w:lastRenderedPageBreak/>
              <w:t>vădit nerezonabile (a se vedea, în acest sens, Anheuser-Busch Inc. c. Portugaliei [GC], nr. 73049/</w:t>
            </w:r>
            <w:r>
              <w:rPr>
                <w:rFonts w:ascii="Times New Roman" w:eastAsia="Times New Roman" w:hAnsi="Times New Roman" w:cs="Times New Roman"/>
                <w:sz w:val="24"/>
                <w:szCs w:val="24"/>
              </w:rPr>
              <w:t>01, §§ 85-86, CEDO 2007-I). În plus, simplul fapt că o acțiune este declarată inadmisibilă din motive procedurale nu înseamnă negarea accesului la o instanță, cu condiția ca observațiile reclamantului să fi făcut obiectul unei examinări reale, iar instanța</w:t>
            </w:r>
            <w:r>
              <w:rPr>
                <w:rFonts w:ascii="Times New Roman" w:eastAsia="Times New Roman" w:hAnsi="Times New Roman" w:cs="Times New Roman"/>
                <w:sz w:val="24"/>
                <w:szCs w:val="24"/>
              </w:rPr>
              <w:t xml:space="preserve"> să fi motivat în mod adecvat și suficient această decizie [a se vedea, de exemplu, Obermeier c. Austriei, 28 iunie 1990, § 68, Seria A nr. 179, și Konkurrenten.no AS c. Norvegiei (dec.), nr. 47341/15, §§ 46-48, 5 noiembrie 2019).</w:t>
            </w:r>
          </w:p>
          <w:p w:rsidR="00255CB9" w:rsidRDefault="00C03C2D">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constată că instanțele naționale au pronunțat o hotărâre prin care au concluzionat cu privire la identitatea celor trei factori menționați mai sus, și anume părțile, obiectul și motivele; cu toate acestea, fără a răspunde la argumentul juridic al re</w:t>
            </w:r>
            <w:r>
              <w:rPr>
                <w:rFonts w:ascii="Times New Roman" w:eastAsia="Times New Roman" w:hAnsi="Times New Roman" w:cs="Times New Roman"/>
                <w:sz w:val="24"/>
                <w:szCs w:val="24"/>
              </w:rPr>
              <w:t>clamantului în temeiul articolului 64 § 3 din Codul familiei, care îl îndreptățea pe acesta să solicite transferul copilului către el în cazul în care părintele custode nu respectă termenii aranjamentelor privind contactul - circumstanțe care au avut loc d</w:t>
            </w:r>
            <w:r>
              <w:rPr>
                <w:rFonts w:ascii="Times New Roman" w:eastAsia="Times New Roman" w:hAnsi="Times New Roman" w:cs="Times New Roman"/>
                <w:sz w:val="24"/>
                <w:szCs w:val="24"/>
              </w:rPr>
              <w:t>upă ce hotărârile inițiale privind dreptul de custodie și dreptul de contact fuseseră deja pronunțate și, prin urmare, nu ar fi putut fi determinate prin aceste hotărâri. Guvernul nu a contestat acest fapt, iar instanțele naționale nu au prevăzut o altă in</w:t>
            </w:r>
            <w:r>
              <w:rPr>
                <w:rFonts w:ascii="Times New Roman" w:eastAsia="Times New Roman" w:hAnsi="Times New Roman" w:cs="Times New Roman"/>
                <w:sz w:val="24"/>
                <w:szCs w:val="24"/>
              </w:rPr>
              <w:t>terpretare a acestei dispoziții; instanțele au omis pur și simplu să ia în considerare acest temei juridic cu totul.</w:t>
            </w:r>
          </w:p>
          <w:p w:rsidR="00255CB9" w:rsidRDefault="00C03C2D">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toate acestea, Curtea observă că, în speță, instanțele naționale nu au examinat cu adevărat admisibilitatea pretențiilor reclamantului c</w:t>
            </w:r>
            <w:r>
              <w:rPr>
                <w:rFonts w:ascii="Times New Roman" w:eastAsia="Times New Roman" w:hAnsi="Times New Roman" w:cs="Times New Roman"/>
                <w:sz w:val="24"/>
                <w:szCs w:val="24"/>
              </w:rPr>
              <w:t xml:space="preserve">u privire la custodie și nu au motivat respingerea acestor pretenții; prin urmare, ele l-au lipsit definitiv de orice posibilitate de a-și revendica drepturile de custodie atunci când au apărut noi împrejurări de fapt și </w:t>
            </w:r>
            <w:r>
              <w:rPr>
                <w:rFonts w:ascii="Times New Roman" w:eastAsia="Times New Roman" w:hAnsi="Times New Roman" w:cs="Times New Roman"/>
                <w:sz w:val="24"/>
                <w:szCs w:val="24"/>
              </w:rPr>
              <w:lastRenderedPageBreak/>
              <w:t>când o determinare a acestor dreptu</w:t>
            </w:r>
            <w:r>
              <w:rPr>
                <w:rFonts w:ascii="Times New Roman" w:eastAsia="Times New Roman" w:hAnsi="Times New Roman" w:cs="Times New Roman"/>
                <w:sz w:val="24"/>
                <w:szCs w:val="24"/>
              </w:rPr>
              <w:t>ri era prevăzută în mod expres de dreptul intern.</w:t>
            </w:r>
          </w:p>
          <w:p w:rsidR="00255CB9" w:rsidRDefault="00C03C2D">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urmare, Curtea consideră că reclamantul a suferit o restricție disproporționată a dreptului său de acces la o instanță și că, în consecință, esența dreptului său la o instanță a fost afectată.</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RM Încăl</w:t>
            </w:r>
            <w:r>
              <w:rPr>
                <w:rFonts w:ascii="Times New Roman" w:eastAsia="Times New Roman" w:hAnsi="Times New Roman" w:cs="Times New Roman"/>
                <w:sz w:val="24"/>
                <w:szCs w:val="24"/>
              </w:rPr>
              <w:t>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Prejudiciu moral 5 900 euro</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Costuri și cheltuieli de 3 500 euro</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Republica Moldova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Proces echitabil</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Imparțialitatea instanței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03.10.2023</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Repeșco și Repeșcu</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Condamnați, poliție, declarații, mijloace interzise</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notează că, în speță, Curtea Supremă de Justiție a examinat într-adevăr declarația unilaterală a Guvernului și înțelegerea amiabilă implicită acceptată de Curte, și că instanța superioară a examinat, de asemenea, dacă termenii acestui acord, potrivi</w:t>
            </w:r>
            <w:r>
              <w:rPr>
                <w:rFonts w:ascii="Times New Roman" w:eastAsia="Times New Roman" w:hAnsi="Times New Roman" w:cs="Times New Roman"/>
                <w:sz w:val="24"/>
                <w:szCs w:val="24"/>
              </w:rPr>
              <w:t>t cărora reclamanții au suferit rele tratamente sub responsabilitatea poliției, au avut vreo influență asupra fondului condamnării reclamanților. Astfel, Curtea Supremă de Justiție a tras propriile concluzii din decizia de radiere a listei de cauze a Curți</w:t>
            </w:r>
            <w:r>
              <w:rPr>
                <w:rFonts w:ascii="Times New Roman" w:eastAsia="Times New Roman" w:hAnsi="Times New Roman" w:cs="Times New Roman"/>
                <w:sz w:val="24"/>
                <w:szCs w:val="24"/>
              </w:rPr>
              <w:t xml:space="preserve">i, care, în opinia sa, nu a constatat că relele tratamente suferite de reclamanți au făcut ca procesul lor să fie inechitabil sau că condamnarea lor s-a bazat pe probe obținute sub tortură. Înalta Curte a reiterat, de asemenea, constatările Curții de Apel </w:t>
            </w:r>
            <w:r>
              <w:rPr>
                <w:rFonts w:ascii="Times New Roman" w:eastAsia="Times New Roman" w:hAnsi="Times New Roman" w:cs="Times New Roman"/>
                <w:sz w:val="24"/>
                <w:szCs w:val="24"/>
              </w:rPr>
              <w:t>potrivit cărora declarațiile reclamanților luate în cursul anchetei penale nu au fost singurele probe decisive pe care s-a bazat condamnarea lor. Concluzionând că nu persistau consecințe grave ale încălcării Convenției, Curtea Supremă de Justiție a menținu</w:t>
            </w:r>
            <w:r>
              <w:rPr>
                <w:rFonts w:ascii="Times New Roman" w:eastAsia="Times New Roman" w:hAnsi="Times New Roman" w:cs="Times New Roman"/>
                <w:sz w:val="24"/>
                <w:szCs w:val="24"/>
              </w:rPr>
              <w:t>t astfel condamnarea reclamanților.</w:t>
            </w:r>
          </w:p>
          <w:p w:rsidR="00255CB9" w:rsidRDefault="00C03C2D">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consecință, aceasta consideră că garanțiile prevăzute la articolul 6 § 1 din Convenție s-au aplicat procedurii de revizuire în prezenta cauză [a se vedea Moreira Ferreira (nr. 2), citată anterior, § 72, și Serrano Contreras (nr. 2), citată anterior, § 2</w:t>
            </w:r>
            <w:r>
              <w:rPr>
                <w:rFonts w:ascii="Times New Roman" w:eastAsia="Times New Roman" w:hAnsi="Times New Roman" w:cs="Times New Roman"/>
                <w:sz w:val="24"/>
                <w:szCs w:val="24"/>
              </w:rPr>
              <w:t>8].</w:t>
            </w:r>
          </w:p>
          <w:p w:rsidR="00255CB9" w:rsidRDefault="00C03C2D">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a apreciat că instanțele interne din Moldova nu au acordat suficientă atenție cerinței ca procedura penală să fie </w:t>
            </w:r>
            <w:r>
              <w:rPr>
                <w:rFonts w:ascii="Times New Roman" w:eastAsia="Times New Roman" w:hAnsi="Times New Roman" w:cs="Times New Roman"/>
                <w:sz w:val="24"/>
                <w:szCs w:val="24"/>
              </w:rPr>
              <w:lastRenderedPageBreak/>
              <w:t>desfășurată în condiții care să asigure imparțialitatea instanței. În acest context, Curtea a subliniat că, chiar și în prezența un</w:t>
            </w:r>
            <w:r>
              <w:rPr>
                <w:rFonts w:ascii="Times New Roman" w:eastAsia="Times New Roman" w:hAnsi="Times New Roman" w:cs="Times New Roman"/>
                <w:sz w:val="24"/>
                <w:szCs w:val="24"/>
              </w:rPr>
              <w:t>or argumente referitoare la presiuni asupra declarațiilor și la lipsa unei protecții efective în fața abuzurilor, instanțele din Moldova nu au examinat în mod adecvat aceste aspecte, limitându-se la argumente formale fără o cercetare profundă a circumstanț</w:t>
            </w:r>
            <w:r>
              <w:rPr>
                <w:rFonts w:ascii="Times New Roman" w:eastAsia="Times New Roman" w:hAnsi="Times New Roman" w:cs="Times New Roman"/>
                <w:sz w:val="24"/>
                <w:szCs w:val="24"/>
              </w:rPr>
              <w:t>elor</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RM Încălcare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Prejudiciu moral de 3 600 euro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Cheltuieli și costuri de 2 500 euro</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România</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Echitatea procedurii penale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Folosirea declarațiilor martorilor care nu au fost audiați în mod legal</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05.11.2024 </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Miron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Mărturii, dovezi ilegale, audieri indirecte.</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4"/>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în speță, deși instanțele care au judecat cazul s-au bazat pe ansamblul probelor, din motivele deciziilor pronunțate reiese că, în ceea ce privește examinarea unei proceduri de recrutare și a obligațiilor regulamentare și legale, documen</w:t>
            </w:r>
            <w:r>
              <w:rPr>
                <w:rFonts w:ascii="Times New Roman" w:eastAsia="Times New Roman" w:hAnsi="Times New Roman" w:cs="Times New Roman"/>
                <w:sz w:val="24"/>
                <w:szCs w:val="24"/>
              </w:rPr>
              <w:t>tele scrise au jucat un rol semnificativ. Aceste documente au fost completate de mărturii, printre care și cea a lui N.G., care a fost ascultată direct de judecătoarea M.M.O. Mai multe elemente convergente indică rolul deosebit de important jucat în proces</w:t>
            </w:r>
            <w:r>
              <w:rPr>
                <w:rFonts w:ascii="Times New Roman" w:eastAsia="Times New Roman" w:hAnsi="Times New Roman" w:cs="Times New Roman"/>
                <w:sz w:val="24"/>
                <w:szCs w:val="24"/>
              </w:rPr>
              <w:t xml:space="preserve"> de mărturia detaliată a lui N.G., subordonata reclamantei, pe care aceasta o însărcinase să redacteze documentele în cauză și să organizeze concursul litigios. Din deciziile interne reiese că rolul celorlalte mărturii care nu au fost ascultate direct de j</w:t>
            </w:r>
            <w:r>
              <w:rPr>
                <w:rFonts w:ascii="Times New Roman" w:eastAsia="Times New Roman" w:hAnsi="Times New Roman" w:cs="Times New Roman"/>
                <w:sz w:val="24"/>
                <w:szCs w:val="24"/>
              </w:rPr>
              <w:t>udecătoarea M.M.O. în prima instanță și nici ulterior de curtea de apel a fost foarte – chiar extrem de – limitat în raționamentul instanțelor care au condamnat reclamanta.</w:t>
            </w:r>
          </w:p>
          <w:p w:rsidR="00255CB9" w:rsidRDefault="00C03C2D">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chiar dacă reclamanta a ridicat ulterior în apel o plângere priv</w:t>
            </w:r>
            <w:r>
              <w:rPr>
                <w:rFonts w:ascii="Times New Roman" w:eastAsia="Times New Roman" w:hAnsi="Times New Roman" w:cs="Times New Roman"/>
                <w:sz w:val="24"/>
                <w:szCs w:val="24"/>
              </w:rPr>
              <w:t>ind caracterul imediat, referindu-se la hotărârea Cutean, citată mai sus (paragraful 14 de mai sus), niciodată nu a precizat care dintre martorii ascultați inițial de instanță ar fi dorit să-i fie audiați din nou în fața judecătoarei M.M.O., nici nu a spec</w:t>
            </w:r>
            <w:r>
              <w:rPr>
                <w:rFonts w:ascii="Times New Roman" w:eastAsia="Times New Roman" w:hAnsi="Times New Roman" w:cs="Times New Roman"/>
                <w:sz w:val="24"/>
                <w:szCs w:val="24"/>
              </w:rPr>
              <w:t xml:space="preserve">ificat aspectele pe care le-ar fi dorit clarificate. Mai mult, chiar dacă curtea de apel ar fi putut să nu admită apelul reclamantei cu efect devolutiv privind trimiterea </w:t>
            </w:r>
            <w:r>
              <w:rPr>
                <w:rFonts w:ascii="Times New Roman" w:eastAsia="Times New Roman" w:hAnsi="Times New Roman" w:cs="Times New Roman"/>
                <w:sz w:val="24"/>
                <w:szCs w:val="24"/>
              </w:rPr>
              <w:lastRenderedPageBreak/>
              <w:t>cauzei în prima instanță, aceasta nu a solicitat, în fața acestei instanțe, nici măca</w:t>
            </w:r>
            <w:r>
              <w:rPr>
                <w:rFonts w:ascii="Times New Roman" w:eastAsia="Times New Roman" w:hAnsi="Times New Roman" w:cs="Times New Roman"/>
                <w:sz w:val="24"/>
                <w:szCs w:val="24"/>
              </w:rPr>
              <w:t xml:space="preserve">r în mod subsidiar, ca ea însăși să reia audierea martorilor respectivi: a reiterat doar aceeași cerere de probe vizând audierea unor noi martori. </w:t>
            </w:r>
          </w:p>
          <w:p w:rsidR="00255CB9" w:rsidRDefault="00C03C2D">
            <w:pPr>
              <w:widowControl w:val="0"/>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cele de mai sus, Curtea nu este convinsă că atitudinea procesuală a reclamantei, care a avut</w:t>
            </w:r>
            <w:r>
              <w:rPr>
                <w:rFonts w:ascii="Times New Roman" w:eastAsia="Times New Roman" w:hAnsi="Times New Roman" w:cs="Times New Roman"/>
                <w:sz w:val="24"/>
                <w:szCs w:val="24"/>
              </w:rPr>
              <w:t xml:space="preserve"> mai multe ocazii de a solicita o audiere repetată a martorilor, reflectă o contestare. </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 există încălcare </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România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Interogarea martorilor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Utilizarea a înregistrărilor audio-video realizate de jurnaliști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08.10.2024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Severin</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Corupție, jurnaliști britanici de la Sunday Times,</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mită, amendament legislativ, Parlamentul European</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au fost depuse la dosar, în fața instanțelor române, mai multe elemente obținute în urma schimburilor pe care reclamantul le-a avut cu cei doi jurnaliști: înregistrări audio-video realizate în timpul întâlnirilor, e-mailuri, precum și tra</w:t>
            </w:r>
            <w:r>
              <w:rPr>
                <w:rFonts w:ascii="Times New Roman" w:eastAsia="Times New Roman" w:hAnsi="Times New Roman" w:cs="Times New Roman"/>
                <w:sz w:val="24"/>
                <w:szCs w:val="24"/>
              </w:rPr>
              <w:t>nscrierea convorbirilor telefonice. Dintre toate aceste elemente, reclamantul a contestat în principal, atât în fața instanțelor naționale, cât și în fața Curții, modul în care au fost realizate înregistrările audio-video de către jurnaliști și modul în ca</w:t>
            </w:r>
            <w:r>
              <w:rPr>
                <w:rFonts w:ascii="Times New Roman" w:eastAsia="Times New Roman" w:hAnsi="Times New Roman" w:cs="Times New Roman"/>
                <w:sz w:val="24"/>
                <w:szCs w:val="24"/>
              </w:rPr>
              <w:t>re acestea au fost ulterior utilizate de instanțe. Curtea își va limita astfel examinarea la administrarea înregistrărilor în cauză în cadrul procedurii desfășurate împotriva reclamantului.</w:t>
            </w:r>
          </w:p>
          <w:p w:rsidR="00255CB9" w:rsidRDefault="00C03C2D">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deduce că reclamantului i s-a oferit o posibilitate adecvat</w:t>
            </w:r>
            <w:r>
              <w:rPr>
                <w:rFonts w:ascii="Times New Roman" w:eastAsia="Times New Roman" w:hAnsi="Times New Roman" w:cs="Times New Roman"/>
                <w:sz w:val="24"/>
                <w:szCs w:val="24"/>
              </w:rPr>
              <w:t xml:space="preserve">ă de a contesta autenticitatea înregistrărilor și de a se opune utilizării acestora (Bykov, menționat anterior, § 90; a se vedea, de asemenea, mutatis mutandis, Panarisi c. Italia, nr. 46794/99, § 92, 10 aprilie 2007). Mai mult, înregistrările în cauză nu </w:t>
            </w:r>
            <w:r>
              <w:rPr>
                <w:rFonts w:ascii="Times New Roman" w:eastAsia="Times New Roman" w:hAnsi="Times New Roman" w:cs="Times New Roman"/>
                <w:sz w:val="24"/>
                <w:szCs w:val="24"/>
              </w:rPr>
              <w:t>au constituit elementul decisiv de probă pentru condamnarea reclamantului: Curtea amintește că și alte elemente de probă au fost depuse la dosar și că declarațiile jurnaliștilor au fost de asemenea preluate de autoritățile române.</w:t>
            </w:r>
          </w:p>
          <w:p w:rsidR="00255CB9" w:rsidRDefault="00C03C2D">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jurnali</w:t>
            </w:r>
            <w:r>
              <w:rPr>
                <w:rFonts w:ascii="Times New Roman" w:eastAsia="Times New Roman" w:hAnsi="Times New Roman" w:cs="Times New Roman"/>
                <w:sz w:val="24"/>
                <w:szCs w:val="24"/>
              </w:rPr>
              <w:t xml:space="preserve">știi au fost mai întâi audiați în cadrul </w:t>
            </w:r>
            <w:r>
              <w:rPr>
                <w:rFonts w:ascii="Times New Roman" w:eastAsia="Times New Roman" w:hAnsi="Times New Roman" w:cs="Times New Roman"/>
                <w:sz w:val="24"/>
                <w:szCs w:val="24"/>
              </w:rPr>
              <w:lastRenderedPageBreak/>
              <w:t>anchetei procuraturii de autoritățile britanice prin comisie rogatorie, iar apoi de judecătorii Înaltei Curți înșiși, prin videoconferință. Curtea mai observă că judecătorii Înaltei Curți au putut asculta direct mar</w:t>
            </w:r>
            <w:r>
              <w:rPr>
                <w:rFonts w:ascii="Times New Roman" w:eastAsia="Times New Roman" w:hAnsi="Times New Roman" w:cs="Times New Roman"/>
                <w:sz w:val="24"/>
                <w:szCs w:val="24"/>
              </w:rPr>
              <w:t>torii în cadrul ședinței din 24 noiembrie 2015. Curtea remarcă în acest sens că, spre deosebire de ce susține reclamantul, audierea martorilor prin videoconferință a fost decisă de judecătorii Înaltei Curți și nu de procuratură. Avocații reclamantului au p</w:t>
            </w:r>
            <w:r>
              <w:rPr>
                <w:rFonts w:ascii="Times New Roman" w:eastAsia="Times New Roman" w:hAnsi="Times New Roman" w:cs="Times New Roman"/>
                <w:sz w:val="24"/>
                <w:szCs w:val="24"/>
              </w:rPr>
              <w:t xml:space="preserve">utut adresa întrebări martorilor, astfel încât cauza de față se diferențiază de acelea în care Curtea a analizat importanța declarațiilor martorilor absenți. </w:t>
            </w:r>
          </w:p>
          <w:p w:rsidR="00255CB9" w:rsidRDefault="00C03C2D">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în acest sens că reclamantul nu s-a plâns că nu a putut fi prezent la videoconferi</w:t>
            </w:r>
            <w:r>
              <w:rPr>
                <w:rFonts w:ascii="Times New Roman" w:eastAsia="Times New Roman" w:hAnsi="Times New Roman" w:cs="Times New Roman"/>
                <w:sz w:val="24"/>
                <w:szCs w:val="24"/>
              </w:rPr>
              <w:t>nță sau că nu a putut adresa întrebări martorilor (a se vedea, a contrario, Papadakis c. fostul stat iugoslav al Macedoniei, nr. 50254/07, §§ 91-95, 26 februarie 2013). Curtea remarcă faptul că reclamantul a fost prezent la ședința din 24 noiembrie 2015, f</w:t>
            </w:r>
            <w:r>
              <w:rPr>
                <w:rFonts w:ascii="Times New Roman" w:eastAsia="Times New Roman" w:hAnsi="Times New Roman" w:cs="Times New Roman"/>
                <w:sz w:val="24"/>
                <w:szCs w:val="24"/>
              </w:rPr>
              <w:t>iind asistat de avocații aleși de el, iar un interpret de limba engleză a asistat, de asemenea, la acea ședință (paragraful 29 de mai sus; a se vedea, în acest sens și mutatis mutandis, Stephens c. Malta (nr. 3), nr. 35989/14, §§ 65 și 75, 14 ianuarie 2020</w:t>
            </w:r>
            <w:r>
              <w:rPr>
                <w:rFonts w:ascii="Times New Roman" w:eastAsia="Times New Roman" w:hAnsi="Times New Roman" w:cs="Times New Roman"/>
                <w:sz w:val="24"/>
                <w:szCs w:val="24"/>
              </w:rPr>
              <w:t>). Curtea observă că avocații reclamantului au putut pune întrebări celor doi martori și că traducerea în limba română a declarațiilor acestora, realizată și verificată de doi traducători autorizați, dintre care unul desemnat de reclamant, a fost depusă la</w:t>
            </w:r>
            <w:r>
              <w:rPr>
                <w:rFonts w:ascii="Times New Roman" w:eastAsia="Times New Roman" w:hAnsi="Times New Roman" w:cs="Times New Roman"/>
                <w:sz w:val="24"/>
                <w:szCs w:val="24"/>
              </w:rPr>
              <w:t xml:space="preserve"> dosar.</w:t>
            </w:r>
          </w:p>
          <w:p w:rsidR="00255CB9" w:rsidRDefault="00C03C2D">
            <w:pPr>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consideră că, luând în ansamblu procedura penală, aceasta i-a oferit reclamantului suficiente garanții pentru exercitarea drepturilor sale de apărare. Având în vedere greutatea pe care elementele de probă obținute sau furnizate de jurnaliști</w:t>
            </w:r>
            <w:r>
              <w:rPr>
                <w:rFonts w:ascii="Times New Roman" w:eastAsia="Times New Roman" w:hAnsi="Times New Roman" w:cs="Times New Roman"/>
                <w:sz w:val="24"/>
                <w:szCs w:val="24"/>
              </w:rPr>
              <w:t xml:space="preserve">, în special înregistrările, le-au avut și dificultățile pe care utilizarea acestora le-a generat în apărare, Curtea </w:t>
            </w:r>
            <w:r>
              <w:rPr>
                <w:rFonts w:ascii="Times New Roman" w:eastAsia="Times New Roman" w:hAnsi="Times New Roman" w:cs="Times New Roman"/>
                <w:sz w:val="24"/>
                <w:szCs w:val="24"/>
              </w:rPr>
              <w:lastRenderedPageBreak/>
              <w:t xml:space="preserve">observă că reclamantul și-a ridicat argumentele în fața instanțelor naționale, iar acestea le-au examinat într-un mod conform prevederilor </w:t>
            </w:r>
            <w:r>
              <w:rPr>
                <w:rFonts w:ascii="Times New Roman" w:eastAsia="Times New Roman" w:hAnsi="Times New Roman" w:cs="Times New Roman"/>
                <w:sz w:val="24"/>
                <w:szCs w:val="24"/>
              </w:rPr>
              <w:t>articolului 6 din Convenție. În plus, Curtea este de părere că și audierea martorilor pe parcursul procedurii s-a desfășurat într-o manieră conformă și că aceasta a avut loc în condiții în care reclamantul a putut să își exercite efectiv drepturile.</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 exi</w:t>
            </w:r>
            <w:r>
              <w:rPr>
                <w:rFonts w:ascii="Times New Roman" w:eastAsia="Times New Roman" w:hAnsi="Times New Roman" w:cs="Times New Roman"/>
                <w:sz w:val="24"/>
                <w:szCs w:val="24"/>
              </w:rPr>
              <w:t>stă încălcare</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Cipru</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 echitabil:</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Audiere echitabilă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Dreptul la apărare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Souroullas Kay și Zannettos</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13-14</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Spălare de bani, șantaj, mărturii, complice, dovezi</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9"/>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reiterează că nedezvăluirea către apărare a unor dovezi materiale care conțin detalii ce ar putea permite acuzatului să se exonereze sau să își reducă pedeapsa ar constitui un refuz al facilităților necesare pentru pregătirea apărării și, prin urmar</w:t>
            </w:r>
            <w:r>
              <w:rPr>
                <w:rFonts w:ascii="Times New Roman" w:eastAsia="Times New Roman" w:hAnsi="Times New Roman" w:cs="Times New Roman"/>
                <w:sz w:val="24"/>
                <w:szCs w:val="24"/>
              </w:rPr>
              <w:t>e, o încălcare a dreptului garantat de articolul 6 din Convenție. Cu toate acestea, se poate aștepta ca acuzatul să prezinte motive specifice pentru cererea sa, iar instanțele naționale au dreptul să examineze validitatea acestor motive (a se vedea Matanov</w:t>
            </w:r>
            <w:r>
              <w:rPr>
                <w:rFonts w:ascii="Times New Roman" w:eastAsia="Times New Roman" w:hAnsi="Times New Roman" w:cs="Times New Roman"/>
                <w:sz w:val="24"/>
                <w:szCs w:val="24"/>
              </w:rPr>
              <w:t xml:space="preserve">ić c. Croația, nr. 2742/12, § 157, 4 aprilie 2017, cu alte referințe). O problemă referitoare la accesul la dovezi poate apărea în temeiul articolului 6 în măsura în care dovezile în cauză sunt relevante pentru cazul reclamantului, în special dacă acestea </w:t>
            </w:r>
            <w:r>
              <w:rPr>
                <w:rFonts w:ascii="Times New Roman" w:eastAsia="Times New Roman" w:hAnsi="Times New Roman" w:cs="Times New Roman"/>
                <w:sz w:val="24"/>
                <w:szCs w:val="24"/>
              </w:rPr>
              <w:t>au avut un impact semnificativ asupra acuzațiilor aduse împotriva acestuia.</w:t>
            </w:r>
          </w:p>
          <w:p w:rsidR="00255CB9" w:rsidRDefault="00C03C2D">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în cazul de față, contrar argumentului Guvernului, datele solicitate constituiau, în principiu, „dovezi” în sensul articolului 6 § 3 (b) din Convenție, întrucât </w:t>
            </w:r>
            <w:r>
              <w:rPr>
                <w:rFonts w:ascii="Times New Roman" w:eastAsia="Times New Roman" w:hAnsi="Times New Roman" w:cs="Times New Roman"/>
                <w:sz w:val="24"/>
                <w:szCs w:val="24"/>
              </w:rPr>
              <w:t>acestea erau legate de fiabilitatea dovezilor unui martor material, și anume, N.L.</w:t>
            </w:r>
          </w:p>
          <w:p w:rsidR="00255CB9" w:rsidRDefault="00C03C2D">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constată că instanțele naționale au examinat în mod corespunzător argumentele reclamanților și au dat decizii motivate pentru respingerea acestora. Instanța de asize </w:t>
            </w:r>
            <w:r>
              <w:rPr>
                <w:rFonts w:ascii="Times New Roman" w:eastAsia="Times New Roman" w:hAnsi="Times New Roman" w:cs="Times New Roman"/>
                <w:sz w:val="24"/>
                <w:szCs w:val="24"/>
              </w:rPr>
              <w:t xml:space="preserve">a respins cererea reclamanților pe motiv că acceptarea acesteia ar dezavantaja nejustificat acuzarea, având în vedere că </w:t>
            </w:r>
            <w:r>
              <w:rPr>
                <w:rFonts w:ascii="Times New Roman" w:eastAsia="Times New Roman" w:hAnsi="Times New Roman" w:cs="Times New Roman"/>
                <w:sz w:val="24"/>
                <w:szCs w:val="24"/>
              </w:rPr>
              <w:lastRenderedPageBreak/>
              <w:t>cererea fusese depusă într-o etapă târzie a procedurii (a se vedea paragraful 32 de mai sus). Mai departe, Curtea Supremă, la revizuire</w:t>
            </w:r>
            <w:r>
              <w:rPr>
                <w:rFonts w:ascii="Times New Roman" w:eastAsia="Times New Roman" w:hAnsi="Times New Roman" w:cs="Times New Roman"/>
                <w:sz w:val="24"/>
                <w:szCs w:val="24"/>
              </w:rPr>
              <w:t xml:space="preserve">a apelului reclamanților, a stabilit că respingerea cererii nu a dezavantajat apărarea, având în vedere că apărarea avusese propria copie a imaginii discului care conținea toate documentele esențiale, iar divulgarea imaginii exacte a discului ar fi permis </w:t>
            </w:r>
            <w:r>
              <w:rPr>
                <w:rFonts w:ascii="Times New Roman" w:eastAsia="Times New Roman" w:hAnsi="Times New Roman" w:cs="Times New Roman"/>
                <w:sz w:val="24"/>
                <w:szCs w:val="24"/>
              </w:rPr>
              <w:t>manipularea dovezilor, în timp ce apărarea a avut posibilitatea de a pune întrebări expertului criminalistic pentru a verifica calitatea lucrării acesteia.</w:t>
            </w:r>
          </w:p>
          <w:p w:rsidR="00255CB9" w:rsidRDefault="00C03C2D">
            <w:pPr>
              <w:widowControl w:val="0"/>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mai observă că nu este contestat între părți că reclamanții au avut acces la tot conținutul u</w:t>
            </w:r>
            <w:r>
              <w:rPr>
                <w:rFonts w:ascii="Times New Roman" w:eastAsia="Times New Roman" w:hAnsi="Times New Roman" w:cs="Times New Roman"/>
                <w:sz w:val="24"/>
                <w:szCs w:val="24"/>
              </w:rPr>
              <w:t xml:space="preserve">nității de disc în cauză, inclusiv toate documentele pe care s-a bazat acuzarea. Singurul „motiv” invocat de reclamanți pentru dorința de a avea acces la dovezile respective a fost că acestea ar arăta coliziunea între N.L. și acuzare. În special, apărarea </w:t>
            </w:r>
            <w:r>
              <w:rPr>
                <w:rFonts w:ascii="Times New Roman" w:eastAsia="Times New Roman" w:hAnsi="Times New Roman" w:cs="Times New Roman"/>
                <w:sz w:val="24"/>
                <w:szCs w:val="24"/>
              </w:rPr>
              <w:t>a susținut că, dacă ar fi avut acces la imaginea discului folosită de acuzare, ar fi putut dovedi că anchetatorii au accesat documentele respective mai devreme decât susținea acuzarea: acest lucru ar fi permis, la rândul său, să demonstreze că acuzarea a i</w:t>
            </w:r>
            <w:r>
              <w:rPr>
                <w:rFonts w:ascii="Times New Roman" w:eastAsia="Times New Roman" w:hAnsi="Times New Roman" w:cs="Times New Roman"/>
                <w:sz w:val="24"/>
                <w:szCs w:val="24"/>
              </w:rPr>
              <w:t>nfluențat mărturia lui N.L. (a se vedea paragraful 30 de mai sus).</w:t>
            </w:r>
          </w:p>
          <w:p w:rsidR="00255CB9" w:rsidRDefault="00C03C2D">
            <w:pPr>
              <w:widowControl w:val="0"/>
              <w:numPr>
                <w:ilvl w:val="0"/>
                <w:numId w:val="1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consideră dificil de înțeles de ce cunoașterea momentului în care documentele în cauză au fost accesate de anchetatori ar fi fost crucială pentru demonstrarea coliziunii dintre N.L. </w:t>
            </w:r>
            <w:r>
              <w:rPr>
                <w:rFonts w:ascii="Times New Roman" w:eastAsia="Times New Roman" w:hAnsi="Times New Roman" w:cs="Times New Roman"/>
                <w:sz w:val="24"/>
                <w:szCs w:val="24"/>
              </w:rPr>
              <w:t xml:space="preserve">și acuzare. Chiar dacă anchetatorii ar fi accesat documentele mai devreme decât au recunoscut, nu este clar cum acele documente ar fi putut fi folosite pentru a influența mărturia lui N.L. Documentele în cauză se refereau la o companie controlată de N.L., </w:t>
            </w:r>
            <w:r>
              <w:rPr>
                <w:rFonts w:ascii="Times New Roman" w:eastAsia="Times New Roman" w:hAnsi="Times New Roman" w:cs="Times New Roman"/>
                <w:sz w:val="24"/>
                <w:szCs w:val="24"/>
              </w:rPr>
              <w:t xml:space="preserve">iar este rezonabil să presupunem că N.L. ar fi fost conștient de conținutul acestora chiar și fără ca acuzarea să le aducă la cunoștință (a se vedea paragrafele </w:t>
            </w:r>
            <w:r>
              <w:rPr>
                <w:rFonts w:ascii="Times New Roman" w:eastAsia="Times New Roman" w:hAnsi="Times New Roman" w:cs="Times New Roman"/>
                <w:sz w:val="24"/>
                <w:szCs w:val="24"/>
              </w:rPr>
              <w:lastRenderedPageBreak/>
              <w:t>8, 9 și 27 de mai sus). Prin urmare, Curtea consideră că obținerea imaginii discului folosită d</w:t>
            </w:r>
            <w:r>
              <w:rPr>
                <w:rFonts w:ascii="Times New Roman" w:eastAsia="Times New Roman" w:hAnsi="Times New Roman" w:cs="Times New Roman"/>
                <w:sz w:val="24"/>
                <w:szCs w:val="24"/>
              </w:rPr>
              <w:t>e acuzare nu ar fi fost de niciun ajutor pentru apărare și constată că, în orice caz, motivele invocate de reclamanți și argumentele lor generale sunt complet ipotetice (a se vedea, mutatis mutandis, M c. Țările de Jos, nr. 2156/10, §§ 68-69, 25 iulie 2017</w:t>
            </w:r>
            <w:r>
              <w:rPr>
                <w:rFonts w:ascii="Times New Roman" w:eastAsia="Times New Roman" w:hAnsi="Times New Roman" w:cs="Times New Roman"/>
                <w:sz w:val="24"/>
                <w:szCs w:val="24"/>
              </w:rPr>
              <w:t>).</w:t>
            </w:r>
          </w:p>
        </w:tc>
        <w:tc>
          <w:tcPr>
            <w:tcW w:w="1725" w:type="dxa"/>
            <w:shd w:val="clear" w:color="auto" w:fill="auto"/>
            <w:tcMar>
              <w:top w:w="100" w:type="dxa"/>
              <w:left w:w="100" w:type="dxa"/>
              <w:bottom w:w="100" w:type="dxa"/>
              <w:right w:w="100" w:type="dxa"/>
            </w:tcMar>
          </w:tcPr>
          <w:p w:rsidR="00255CB9" w:rsidRDefault="00C03C2D">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Cinci voturi la două, că nu a existat nicio încălcare a articolului 6 § 1 din Convenție din cauza încrederii instanțelor în mărturia dată de complicele reclamanților;</w:t>
            </w:r>
          </w:p>
          <w:p w:rsidR="00255CB9" w:rsidRDefault="00C03C2D">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Hotărăște, cu cinci voturi la două, că nu a existat nicio încălcare a articolului 6 §§</w:t>
            </w:r>
            <w:r>
              <w:rPr>
                <w:rFonts w:ascii="Times New Roman" w:eastAsia="Times New Roman" w:hAnsi="Times New Roman" w:cs="Times New Roman"/>
                <w:sz w:val="24"/>
                <w:szCs w:val="24"/>
              </w:rPr>
              <w:t xml:space="preserve"> 1 și 3 (b) din Convenție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Macedonia de Nord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Judecător imparțial</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Refuzul de a recunoaște o hotărâre  arbitrală definitivă  a Camerei Internaționale de Comerț  din Paris din cadrul Curții Internaționale de Arbitraj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Ndi Sopot S.A.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36-42</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Camera Internațională de Comerț din Paris a Curții Internaționale de Arbitraj, hotărâre arbitrală, imparțialitate, motivare insuficientă</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instanțele naționale din cazul de față și-au bazat refuzul de a recunoaște premiul parțial pe două argumente cheie, unul referitor la neprezentarea dovezilor privind definitivarea premiului parțial și celălalt referitor la presupusele def</w:t>
            </w:r>
            <w:r>
              <w:rPr>
                <w:rFonts w:ascii="Times New Roman" w:eastAsia="Times New Roman" w:hAnsi="Times New Roman" w:cs="Times New Roman"/>
                <w:sz w:val="24"/>
                <w:szCs w:val="24"/>
              </w:rPr>
              <w:t>iciențe grave ale procedurii de arbitraj. Curtea le va analiza pe fiecare în parte.</w:t>
            </w:r>
          </w:p>
          <w:p w:rsidR="00255CB9" w:rsidRDefault="00C03C2D">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de asemenea, că esența concluziilor instanțelor naționale în partea relevantă a fost că hotărârea Tribunalului Regional Gdańsk, prin care premiul parțial a </w:t>
            </w:r>
            <w:r>
              <w:rPr>
                <w:rFonts w:ascii="Times New Roman" w:eastAsia="Times New Roman" w:hAnsi="Times New Roman" w:cs="Times New Roman"/>
                <w:sz w:val="24"/>
                <w:szCs w:val="24"/>
              </w:rPr>
              <w:t>fost recunoscut în Polonia, nu putea servi drept confirmare adecvată a validității premiului parțial în scopul secțiunii 101 din Legea PIL (a se vedea paragraful 30 de mai sus). Totuși, compania reclamantă, în declarația sa de apel, (a) a contestat clar ac</w:t>
            </w:r>
            <w:r>
              <w:rPr>
                <w:rFonts w:ascii="Times New Roman" w:eastAsia="Times New Roman" w:hAnsi="Times New Roman" w:cs="Times New Roman"/>
                <w:sz w:val="24"/>
                <w:szCs w:val="24"/>
              </w:rPr>
              <w:t xml:space="preserve">eastă linie de raționament ca fiind irelevantă și a reiterat că cererea sa de recunoaștere nu se referea la hotărârea atacată dată de instanța poloneză, ci la premiul parțial al tribunalului ICC; și (b) a făcut trimitere, „pentru a risipi orice îndoială”, </w:t>
            </w:r>
            <w:r>
              <w:rPr>
                <w:rFonts w:ascii="Times New Roman" w:eastAsia="Times New Roman" w:hAnsi="Times New Roman" w:cs="Times New Roman"/>
                <w:sz w:val="24"/>
                <w:szCs w:val="24"/>
              </w:rPr>
              <w:t xml:space="preserve">la dovezi suplimentare care au devenit disponibile după hotărârea instanței de primă instanță din Skopje, respectiv certificatul din 7 iunie 2016 emis de Secretarul General al ICA care confirma că premiul parțial fusese notificat corespunzător părților și </w:t>
            </w:r>
            <w:r>
              <w:rPr>
                <w:rFonts w:ascii="Times New Roman" w:eastAsia="Times New Roman" w:hAnsi="Times New Roman" w:cs="Times New Roman"/>
                <w:sz w:val="24"/>
                <w:szCs w:val="24"/>
              </w:rPr>
              <w:t xml:space="preserve">reiterând natura sa obligatorie (a se vedea paragraful 18 de mai sus), care, în opinia companiei reclamante, constituia în orice caz o dovadă a finalității premiului parțial </w:t>
            </w:r>
            <w:r>
              <w:rPr>
                <w:rFonts w:ascii="Times New Roman" w:eastAsia="Times New Roman" w:hAnsi="Times New Roman" w:cs="Times New Roman"/>
                <w:sz w:val="24"/>
                <w:szCs w:val="24"/>
              </w:rPr>
              <w:lastRenderedPageBreak/>
              <w:t>în scopul secțiunii 101 din Legea PIL.</w:t>
            </w:r>
          </w:p>
          <w:p w:rsidR="00255CB9" w:rsidRDefault="00C03C2D">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toate acestea, instanța de apel nu a abo</w:t>
            </w:r>
            <w:r>
              <w:rPr>
                <w:rFonts w:ascii="Times New Roman" w:eastAsia="Times New Roman" w:hAnsi="Times New Roman" w:cs="Times New Roman"/>
                <w:sz w:val="24"/>
                <w:szCs w:val="24"/>
              </w:rPr>
              <w:t>rdat obiecțiile specifice ale companiei reclamante menționate mai sus. În schimb, aceasta a reiterat concluziile instanței de primă instanță în această privință, fără a lua în considerare argumentul companiei reclamante cu privire la irelevanța acestora în</w:t>
            </w:r>
            <w:r>
              <w:rPr>
                <w:rFonts w:ascii="Times New Roman" w:eastAsia="Times New Roman" w:hAnsi="Times New Roman" w:cs="Times New Roman"/>
                <w:sz w:val="24"/>
                <w:szCs w:val="24"/>
              </w:rPr>
              <w:t xml:space="preserve"> ceea ce privește aplicabilitatea deciziei instanței poloneze. Instanța de apel a rămas, de asemenea, tăcută cu privire la scrisoarea Secretarului General al ICA a ICC care reiterase natura obligatorie a premiului parțial. </w:t>
            </w:r>
          </w:p>
          <w:p w:rsidR="00255CB9" w:rsidRDefault="00C03C2D">
            <w:pPr>
              <w:widowControl w:val="0"/>
              <w:numPr>
                <w:ilvl w:val="0"/>
                <w:numId w:val="1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că presupusa ner</w:t>
            </w:r>
            <w:r>
              <w:rPr>
                <w:rFonts w:ascii="Times New Roman" w:eastAsia="Times New Roman" w:hAnsi="Times New Roman" w:cs="Times New Roman"/>
                <w:sz w:val="24"/>
                <w:szCs w:val="24"/>
              </w:rPr>
              <w:t xml:space="preserve">espectare a cerințelor secțiunii 101 din Legea PIL a constituit, pentru instanțele naționale ale ambelor instanțe, un motiv separat pentru refuzul de a recunoaște premiul parțial în Macedonia de Nord, Curtea concluzionează că contestarea de către compania </w:t>
            </w:r>
            <w:r>
              <w:rPr>
                <w:rFonts w:ascii="Times New Roman" w:eastAsia="Times New Roman" w:hAnsi="Times New Roman" w:cs="Times New Roman"/>
                <w:sz w:val="24"/>
                <w:szCs w:val="24"/>
              </w:rPr>
              <w:t>reclamantă a concluziilor instanței de primă instanță în acea parte a fost decisivă pentru soluționarea cauzei. Prin urmare, Curtea constată că instanța de apel nu a răspuns la argumentele specifice și importante ale companiei reclamante cu privire la acel</w:t>
            </w:r>
            <w:r>
              <w:rPr>
                <w:rFonts w:ascii="Times New Roman" w:eastAsia="Times New Roman" w:hAnsi="Times New Roman" w:cs="Times New Roman"/>
                <w:sz w:val="24"/>
                <w:szCs w:val="24"/>
              </w:rPr>
              <w:t xml:space="preserve"> aspect al cauzei, încălcând astfel cerințele articolului 6 § 1 (a se vedea, printre altele, Mont Blanc Trading Ltd și Antares Titanium Trading Ltd, citate mai sus, §§ 28-31, și Carmel Saliba c. Malta, nr. 24221/13, § 79, 29 noiembrie 2016; și contrast cu </w:t>
            </w:r>
            <w:r>
              <w:rPr>
                <w:rFonts w:ascii="Times New Roman" w:eastAsia="Times New Roman" w:hAnsi="Times New Roman" w:cs="Times New Roman"/>
                <w:sz w:val="24"/>
                <w:szCs w:val="24"/>
              </w:rPr>
              <w:t>Petrović, citat mai sus, § 43).</w:t>
            </w:r>
          </w:p>
          <w:p w:rsidR="00255CB9" w:rsidRDefault="00C03C2D">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cadrul celui de-al doilea raționament, instanțele naționale au constatat că recunoașterea premiului parțial, emis cu încălcarea cerinței de imparțialitate datorită participării arbitrului J.M., ar fi fost în contradicție </w:t>
            </w:r>
            <w:r>
              <w:rPr>
                <w:rFonts w:ascii="Times New Roman" w:eastAsia="Times New Roman" w:hAnsi="Times New Roman" w:cs="Times New Roman"/>
                <w:sz w:val="24"/>
                <w:szCs w:val="24"/>
              </w:rPr>
              <w:t xml:space="preserve">cu ordinea publică a Macedoniei de Nord. Curtea acceptă că, în acest sens, instanțele naționale și-au exercitat competențele în temeiul legislației naționale și au făcut trimitere la motivele de refuz </w:t>
            </w:r>
            <w:r>
              <w:rPr>
                <w:rFonts w:ascii="Times New Roman" w:eastAsia="Times New Roman" w:hAnsi="Times New Roman" w:cs="Times New Roman"/>
                <w:sz w:val="24"/>
                <w:szCs w:val="24"/>
              </w:rPr>
              <w:lastRenderedPageBreak/>
              <w:t>al recunoașterii prevăzute în Convenția de la New York,</w:t>
            </w:r>
            <w:r>
              <w:rPr>
                <w:rFonts w:ascii="Times New Roman" w:eastAsia="Times New Roman" w:hAnsi="Times New Roman" w:cs="Times New Roman"/>
                <w:sz w:val="24"/>
                <w:szCs w:val="24"/>
              </w:rPr>
              <w:t xml:space="preserve"> inclusiv motivele de ordine publică și respectarea procesului echitabil.</w:t>
            </w:r>
          </w:p>
          <w:p w:rsidR="00255CB9" w:rsidRDefault="00C03C2D">
            <w:pPr>
              <w:widowControl w:val="0"/>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toate acestea, instanța de apel a limitat raționamentul său în partea relevantă a deciziei sale la o trimitere la competența sa de a decide dacă au existat circumstanțe care să ex</w:t>
            </w:r>
            <w:r>
              <w:rPr>
                <w:rFonts w:ascii="Times New Roman" w:eastAsia="Times New Roman" w:hAnsi="Times New Roman" w:cs="Times New Roman"/>
                <w:sz w:val="24"/>
                <w:szCs w:val="24"/>
              </w:rPr>
              <w:t>cludă recunoașterea premiului parțial în temeiul Legii PIL naționale și Convenției de la New York (a se vedea paragraful 36 de mai sus). Curtea consideră că răspunsul sumativ al instanței de apel la argumente nu poate fi considerat suficient (a se vedea, m</w:t>
            </w:r>
            <w:r>
              <w:rPr>
                <w:rFonts w:ascii="Times New Roman" w:eastAsia="Times New Roman" w:hAnsi="Times New Roman" w:cs="Times New Roman"/>
                <w:sz w:val="24"/>
                <w:szCs w:val="24"/>
              </w:rPr>
              <w:t xml:space="preserve">utatis mutandis, Ovcharenko și Kolos c. Ucraina, nr. 27276/15 și 33692/15, § 126, 12 ianuarie 2023, și Samoylova c. Rusia, nr. 49108/11, §§ 50-51, 14 decembrie 2021). Instanțele naționale nu au indicat nicio dovadă specifică pentru concluzia lor că J.K.J. </w:t>
            </w:r>
            <w:r>
              <w:rPr>
                <w:rFonts w:ascii="Times New Roman" w:eastAsia="Times New Roman" w:hAnsi="Times New Roman" w:cs="Times New Roman"/>
                <w:sz w:val="24"/>
                <w:szCs w:val="24"/>
              </w:rPr>
              <w:t>„a participat direct la semnarea contractului” (a se vedea paragrafele 29 și 35 de mai sus), ceea ce este în conflict cu propria constatare de fapt a Tribunalului ICC privind aceeași problemă.</w:t>
            </w:r>
          </w:p>
          <w:p w:rsidR="00255CB9" w:rsidRDefault="00C03C2D">
            <w:pPr>
              <w:widowControl w:val="0"/>
              <w:numPr>
                <w:ilvl w:val="0"/>
                <w:numId w:val="1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opinia Curții, instanțele naționale nu au dat un răspuns ade</w:t>
            </w:r>
            <w:r>
              <w:rPr>
                <w:rFonts w:ascii="Times New Roman" w:eastAsia="Times New Roman" w:hAnsi="Times New Roman" w:cs="Times New Roman"/>
                <w:sz w:val="24"/>
                <w:szCs w:val="24"/>
              </w:rPr>
              <w:t>cvat argumentelor specifice ale companiei reclamante, care ar fi putut fi decisive pentru soluția cauzei. Drept urmare, raționamentul instanțelor nu a fost suficient, deoarece instanțele nu au acordat suficientă importanță unor aspecte importante ale cauze</w:t>
            </w:r>
            <w:r>
              <w:rPr>
                <w:rFonts w:ascii="Times New Roman" w:eastAsia="Times New Roman" w:hAnsi="Times New Roman" w:cs="Times New Roman"/>
                <w:sz w:val="24"/>
                <w:szCs w:val="24"/>
              </w:rPr>
              <w:t xml:space="preserve">i evidențiate mai sus. </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Macedonia de Nord Încălcare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Prejudicii morale de 3 600 euro</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Costuri și cheltuieli de 15 000 euro</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Franța</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Dreptul la proces echitabil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Acces la justiție</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21.11.2024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Iustina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Recurs, întârziere, inadmisibilitate</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eroare</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constată că recursul reclamantei a fost declarat inadmisibil din cauza întârzierii în prezentarea hotărârii confirmate prin decizia atacată, în conformitate cu articolul 979 din Codul de procedură civilă.</w:t>
            </w:r>
          </w:p>
          <w:p w:rsidR="00255CB9" w:rsidRDefault="00C03C2D">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constată că, din chiar termenii primului aliniat al articolului 979 din CPC, rezultă că recurentul trebuie, sub </w:t>
            </w:r>
            <w:r>
              <w:rPr>
                <w:rFonts w:ascii="Times New Roman" w:eastAsia="Times New Roman" w:hAnsi="Times New Roman" w:cs="Times New Roman"/>
                <w:sz w:val="24"/>
                <w:szCs w:val="24"/>
              </w:rPr>
              <w:lastRenderedPageBreak/>
              <w:t>sancțiunea inadmisibilității, să prezinte hotărârea atacată, precum și hotărârea confirmată sau infirmată de aceasta, într-un termen de p</w:t>
            </w:r>
            <w:r>
              <w:rPr>
                <w:rFonts w:ascii="Times New Roman" w:eastAsia="Times New Roman" w:hAnsi="Times New Roman" w:cs="Times New Roman"/>
                <w:sz w:val="24"/>
                <w:szCs w:val="24"/>
              </w:rPr>
              <w:t>atru luni de la depunerea recursului.</w:t>
            </w:r>
          </w:p>
          <w:p w:rsidR="00255CB9" w:rsidRDefault="00C03C2D">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remarcă faptul că reclamanta a completat documentele sale pe 17 noiembrie 2016, la cererea expresă a grefei Curții de Casație și fără întârziere, chiar înainte ca un raportor să fie desemnat pentru a instrui cau</w:t>
            </w:r>
            <w:r>
              <w:rPr>
                <w:rFonts w:ascii="Times New Roman" w:eastAsia="Times New Roman" w:hAnsi="Times New Roman" w:cs="Times New Roman"/>
                <w:sz w:val="24"/>
                <w:szCs w:val="24"/>
              </w:rPr>
              <w:t>za. Concret, greșeala comisă de reclamantă nu a avut efectul de a întârzia examinarea recursului, raportorul având un dosar complet imediat după desemnarea sa și putând să efectueze o analiză detaliată a cazului, așa cum atestă raportul din 12 ianuarie 201</w:t>
            </w:r>
            <w:r>
              <w:rPr>
                <w:rFonts w:ascii="Times New Roman" w:eastAsia="Times New Roman" w:hAnsi="Times New Roman" w:cs="Times New Roman"/>
                <w:sz w:val="24"/>
                <w:szCs w:val="24"/>
              </w:rPr>
              <w:t>7. Curtea consideră astfel că greșeala comisă de avocatul reclamantei este minimă și reprezintă doar o simplă confuzie în transmiterea unei piese în locul alteia; aceasta nu reflectă nici nepăsare, nici o intenție de disimulare, care, desigur, ar trebui să</w:t>
            </w:r>
            <w:r>
              <w:rPr>
                <w:rFonts w:ascii="Times New Roman" w:eastAsia="Times New Roman" w:hAnsi="Times New Roman" w:cs="Times New Roman"/>
                <w:sz w:val="24"/>
                <w:szCs w:val="24"/>
              </w:rPr>
              <w:t xml:space="preserve"> poată fi sancționate procedural. În speță, Curtea observă că scopul urmărit de regula procedurală a fost pe deplin realizat. În circumstanțele specifice ale cauzei, Curtea consideră că greșeala comisă de avocatul reclamantei nu a avut niciun impact asupra</w:t>
            </w:r>
            <w:r>
              <w:rPr>
                <w:rFonts w:ascii="Times New Roman" w:eastAsia="Times New Roman" w:hAnsi="Times New Roman" w:cs="Times New Roman"/>
                <w:sz w:val="24"/>
                <w:szCs w:val="24"/>
              </w:rPr>
              <w:t xml:space="preserve"> administrării corecte a justiției și asupra securității juridice.</w:t>
            </w:r>
          </w:p>
          <w:p w:rsidR="00255CB9" w:rsidRDefault="00C03C2D">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mai întâi că al doilea alineat al articolului 979 din CPC permite completarea unor producții incomplete sau eronate în anumite condiții (paragraful 18 de mai sus). Aceste dis</w:t>
            </w:r>
            <w:r>
              <w:rPr>
                <w:rFonts w:ascii="Times New Roman" w:eastAsia="Times New Roman" w:hAnsi="Times New Roman" w:cs="Times New Roman"/>
                <w:sz w:val="24"/>
                <w:szCs w:val="24"/>
              </w:rPr>
              <w:t>poziții au fost introduse printr-un decret din 6 noiembrie 2014 pentru a evita aplicarea unei sancțiuni procesuale disproporționate în cazul lipsei unor documente.</w:t>
            </w:r>
          </w:p>
          <w:p w:rsidR="00255CB9" w:rsidRDefault="00C03C2D">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de asemenea, că această cauză de inadmisibilitate a fost ridicată din oficiu</w:t>
            </w:r>
            <w:r>
              <w:rPr>
                <w:rFonts w:ascii="Times New Roman" w:eastAsia="Times New Roman" w:hAnsi="Times New Roman" w:cs="Times New Roman"/>
                <w:sz w:val="24"/>
                <w:szCs w:val="24"/>
              </w:rPr>
              <w:t xml:space="preserve"> și într-o etapă avansată a procedurii, după ce a fost depus un raport detaliat și după o schimbare de raportor, chiar și în condițiile în care </w:t>
            </w:r>
            <w:r>
              <w:rPr>
                <w:rFonts w:ascii="Times New Roman" w:eastAsia="Times New Roman" w:hAnsi="Times New Roman" w:cs="Times New Roman"/>
                <w:sz w:val="24"/>
                <w:szCs w:val="24"/>
              </w:rPr>
              <w:lastRenderedPageBreak/>
              <w:t xml:space="preserve">dosarul fusese completat rapid la cererea grefei Curții de Casație. Or, dreptul intern nu impunea ridicarea din </w:t>
            </w:r>
            <w:r>
              <w:rPr>
                <w:rFonts w:ascii="Times New Roman" w:eastAsia="Times New Roman" w:hAnsi="Times New Roman" w:cs="Times New Roman"/>
                <w:sz w:val="24"/>
                <w:szCs w:val="24"/>
              </w:rPr>
              <w:t>oficiu a unui astfel de motiv. Regula procedurală a fost aplicată astfel ca o barieră care a împiedicat soluționarea unei cauze care era deja pregătită pentru a fi judecată.</w:t>
            </w:r>
          </w:p>
          <w:p w:rsidR="00255CB9" w:rsidRDefault="00C03C2D">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de Casație a aplicat astfel o interpretare și o aplicare deosebit de riguro</w:t>
            </w:r>
            <w:r>
              <w:rPr>
                <w:rFonts w:ascii="Times New Roman" w:eastAsia="Times New Roman" w:hAnsi="Times New Roman" w:cs="Times New Roman"/>
                <w:sz w:val="24"/>
                <w:szCs w:val="24"/>
              </w:rPr>
              <w:t>asă a regulii procedurale în cauză. Curtea consideră că acestea nu erau necesare pentru administrarea corectă a justiției și pentru securitatea juridică în circumstanțele specifice ale cauzei și conchide că reclamanta a fost nevoită să suporte o sarcină ex</w:t>
            </w:r>
            <w:r>
              <w:rPr>
                <w:rFonts w:ascii="Times New Roman" w:eastAsia="Times New Roman" w:hAnsi="Times New Roman" w:cs="Times New Roman"/>
                <w:sz w:val="24"/>
                <w:szCs w:val="24"/>
              </w:rPr>
              <w:t>cesivă.</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 6 voturi la 1 Franța Încălcare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Daune morale 3 000 euro</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Cheltuieli de judecată de 1 980 euro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Grecia</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Dreptul la un  proces echitabil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Accesul la justiție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Tsiolis</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25-26</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Admisibilitate, apel, Curtea Supremă de Administrație, despăgubiri, privare de proprietate</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5"/>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constată că (i) interpretarea extrem de restrictivă făcută  de ultimă instanță în contextul celui de-al treilea motiv de apel referitor la îndeplinirea condiț</w:t>
            </w:r>
            <w:r>
              <w:rPr>
                <w:rFonts w:ascii="Times New Roman" w:eastAsia="Times New Roman" w:hAnsi="Times New Roman" w:cs="Times New Roman"/>
                <w:sz w:val="24"/>
                <w:szCs w:val="24"/>
              </w:rPr>
              <w:t>iei ca jurisprudența invocată să fie cea formulată în legătură cu aceeași chestiune juridică, (ii) lipsa oricărui răspuns din partea Curții Supreme Administrative cu privire la primul motiv de apel al reclamantei și la argumentele esențiale ale acesteia re</w:t>
            </w:r>
            <w:r>
              <w:rPr>
                <w:rFonts w:ascii="Times New Roman" w:eastAsia="Times New Roman" w:hAnsi="Times New Roman" w:cs="Times New Roman"/>
                <w:sz w:val="24"/>
                <w:szCs w:val="24"/>
              </w:rPr>
              <w:t>feritoare la lipsa unei jurisprudențe relevante și (iii) lipsa unei baze de date accesibile și cuprinzătoare a jurisprudenței, au împiedicat examinarea fondului cauzei. Aceasta a afectat esența dreptului reclamantei de acces la un tribunal în scopul determ</w:t>
            </w:r>
            <w:r>
              <w:rPr>
                <w:rFonts w:ascii="Times New Roman" w:eastAsia="Times New Roman" w:hAnsi="Times New Roman" w:cs="Times New Roman"/>
                <w:sz w:val="24"/>
                <w:szCs w:val="24"/>
              </w:rPr>
              <w:t>inării drepturilor și obligațiilor sale civile (a se vedea, de exemplu, Ghrenassia, menționată mai sus, § 37; Louli-Georgopoulou v. Grecia, nr. 22756/09, §§ 47-48, 16 martie 2017; și Dumitru Gheorghe v. România, nr. 33883/06, § 34, 12 aprilie 2016).</w:t>
            </w:r>
          </w:p>
          <w:p w:rsidR="00255CB9" w:rsidRDefault="00C03C2D">
            <w:pPr>
              <w:widowControl w:val="0"/>
              <w:numPr>
                <w:ilvl w:val="0"/>
                <w:numId w:val="15"/>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w:t>
            </w:r>
            <w:r>
              <w:rPr>
                <w:rFonts w:ascii="Times New Roman" w:eastAsia="Times New Roman" w:hAnsi="Times New Roman" w:cs="Times New Roman"/>
                <w:sz w:val="24"/>
                <w:szCs w:val="24"/>
              </w:rPr>
              <w:t xml:space="preserve"> observă că Guvernul s-a bazat pe hotărârea din cazul Papaioannou (menționată mai sus), susținând că cerințele de admisibilitate fuseseră considerate compatibile cu dreptul de acces la un tribunal (a se vedea paragraful 48 de mai sus). </w:t>
            </w:r>
            <w:r>
              <w:rPr>
                <w:rFonts w:ascii="Times New Roman" w:eastAsia="Times New Roman" w:hAnsi="Times New Roman" w:cs="Times New Roman"/>
                <w:sz w:val="24"/>
                <w:szCs w:val="24"/>
              </w:rPr>
              <w:lastRenderedPageBreak/>
              <w:t>Curtea notează că ca</w:t>
            </w:r>
            <w:r>
              <w:rPr>
                <w:rFonts w:ascii="Times New Roman" w:eastAsia="Times New Roman" w:hAnsi="Times New Roman" w:cs="Times New Roman"/>
                <w:sz w:val="24"/>
                <w:szCs w:val="24"/>
              </w:rPr>
              <w:t>zul de față este diferit de acel caz în care Curtea a constatat că nu a existat o încălcare a articolului 6 § 1 din Convenție. În acel caz, apelantul susținuse în apelul său că cerința de admisibilitate referitoare la contrarierea unui judecății atacate cu</w:t>
            </w:r>
            <w:r>
              <w:rPr>
                <w:rFonts w:ascii="Times New Roman" w:eastAsia="Times New Roman" w:hAnsi="Times New Roman" w:cs="Times New Roman"/>
                <w:sz w:val="24"/>
                <w:szCs w:val="24"/>
              </w:rPr>
              <w:t xml:space="preserve"> jurisprudența existentă era neconstituțională, deoarece ridica jurisprudența la rangul de sursă a dreptului și, prin urmare, era nulă. În ceea ce privește cerința referitoare la lipsa unei jurisprudențe, el susținea că nu exista jurisprudență referitoare </w:t>
            </w:r>
            <w:r>
              <w:rPr>
                <w:rFonts w:ascii="Times New Roman" w:eastAsia="Times New Roman" w:hAnsi="Times New Roman" w:cs="Times New Roman"/>
                <w:sz w:val="24"/>
                <w:szCs w:val="24"/>
              </w:rPr>
              <w:t>la întrebarea aflată în examinare. Curtea Supremă Administrativă i-a respins apelul pentru neconformitatea cu cerințele de admisibilitate, considerând că problema conformității dispozițiilor în cauză cu Constituția fusese deja confirmată de o jurisprudență</w:t>
            </w:r>
            <w:r>
              <w:rPr>
                <w:rFonts w:ascii="Times New Roman" w:eastAsia="Times New Roman" w:hAnsi="Times New Roman" w:cs="Times New Roman"/>
                <w:sz w:val="24"/>
                <w:szCs w:val="24"/>
              </w:rPr>
              <w:t xml:space="preserve"> abundentă. În ceea ce privește argumentul referitor la lipsa unei jurisprudențe, Curtea Supremă Administrativă și-a expus motivele și a precizat în hotărârea sa că acest argument fusese formulat într-o manieră afirmativă și succintă și că nu fusese specif</w:t>
            </w:r>
            <w:r>
              <w:rPr>
                <w:rFonts w:ascii="Times New Roman" w:eastAsia="Times New Roman" w:hAnsi="Times New Roman" w:cs="Times New Roman"/>
                <w:sz w:val="24"/>
                <w:szCs w:val="24"/>
              </w:rPr>
              <w:t>icată întrebarea juridică pentru care nu exista jurisprudență.</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Grecia Încălcare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Daune nu au fost solicitate</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Germania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Prezumția nevinovăției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17.09.2024 </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12-16</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Infracțiune, coparticipare, viața privată,</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prezumția nevinovăției, Curtea Regională și Curtea Federală de Justiție </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procedurile preliminare privind tranzacțiile „Cum‑Ex” legate de W-Bank au fost inițial desfășurate ca un singur set de proceduri împotriva mai multor persoane acuzat</w:t>
            </w:r>
            <w:r>
              <w:rPr>
                <w:rFonts w:ascii="Times New Roman" w:eastAsia="Times New Roman" w:hAnsi="Times New Roman" w:cs="Times New Roman"/>
                <w:sz w:val="24"/>
                <w:szCs w:val="24"/>
              </w:rPr>
              <w:t xml:space="preserve">e, iar apoi procuratura a decis să inițieze un set separat de proceduri împotriva doar a lui M.S. și N.D. și să îi pună sub acuzație mai devreme decât pe ceilalți acuzați, inclusiv reclamantul (a se vedea paragrafele 11 și 12 de mai sus). Curtea ia act de </w:t>
            </w:r>
            <w:r>
              <w:rPr>
                <w:rFonts w:ascii="Times New Roman" w:eastAsia="Times New Roman" w:hAnsi="Times New Roman" w:cs="Times New Roman"/>
                <w:sz w:val="24"/>
                <w:szCs w:val="24"/>
              </w:rPr>
              <w:t xml:space="preserve">motivele pentru care procuratura a separat procedurile, respectiv complexitatea și amploarea procedurilor „Cum‑Ex” și faptul că cazul împotriva lui M.S. și N.D. era pregătit pentru judecată datorită confesiunilor </w:t>
            </w:r>
            <w:r>
              <w:rPr>
                <w:rFonts w:ascii="Times New Roman" w:eastAsia="Times New Roman" w:hAnsi="Times New Roman" w:cs="Times New Roman"/>
                <w:sz w:val="24"/>
                <w:szCs w:val="24"/>
              </w:rPr>
              <w:lastRenderedPageBreak/>
              <w:t>acestora, spre deosebire de cazul împotriva</w:t>
            </w:r>
            <w:r>
              <w:rPr>
                <w:rFonts w:ascii="Times New Roman" w:eastAsia="Times New Roman" w:hAnsi="Times New Roman" w:cs="Times New Roman"/>
                <w:sz w:val="24"/>
                <w:szCs w:val="24"/>
              </w:rPr>
              <w:t xml:space="preserve"> celorlalți acuzați (a se vedea paragraful 11 de mai sus). Curtea consideră că decizia de a separa procedurile a fost în conformitate cu obligația, conform legii germane, de a desfășura procedurile penale într-un termen rapid (a se vedea paragraful 33 de m</w:t>
            </w:r>
            <w:r>
              <w:rPr>
                <w:rFonts w:ascii="Times New Roman" w:eastAsia="Times New Roman" w:hAnsi="Times New Roman" w:cs="Times New Roman"/>
                <w:sz w:val="24"/>
                <w:szCs w:val="24"/>
              </w:rPr>
              <w:t>ai sus) și cu dreptul lui M.S. și N.D. la un proces echitabil într-un termen rezonabil, conform articolului 6 § 1 din Convenție. Prin urmare, Curtea nu vede niciun motiv să considere această decizie ca fiind nejustificată .</w:t>
            </w:r>
          </w:p>
          <w:p w:rsidR="00255CB9" w:rsidRDefault="00C03C2D">
            <w:pPr>
              <w:widowControl w:val="0"/>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în hotărârile scrise referitoare la M.S. și N.D., Curtea Regională și Curtea Federală de Justiție nu doar că au descris în detaliu acțiunile și intențiile reclamantului din punct de vedere factual, dar le-au evaluat și din punct de veder</w:t>
            </w:r>
            <w:r>
              <w:rPr>
                <w:rFonts w:ascii="Times New Roman" w:eastAsia="Times New Roman" w:hAnsi="Times New Roman" w:cs="Times New Roman"/>
                <w:sz w:val="24"/>
                <w:szCs w:val="24"/>
              </w:rPr>
              <w:t xml:space="preserve">e juridic. În special, instanțele penale au constatat că reclamantul a îndeplinit elementele constitutive (actus reus și mens rea) ale infracțiunii de care era acuzat (evaziune fiscală) și că a făcut acest lucru în mod ilegal (a se vedea paragrafele 14‑17 </w:t>
            </w:r>
            <w:r>
              <w:rPr>
                <w:rFonts w:ascii="Times New Roman" w:eastAsia="Times New Roman" w:hAnsi="Times New Roman" w:cs="Times New Roman"/>
                <w:sz w:val="24"/>
                <w:szCs w:val="24"/>
              </w:rPr>
              <w:t>de mai sus). Astfel, ele au constatat că reclamantul a îndeplinit două dintre cele trei condiții fundamentale necesare pentru a stabili răspunderea penală conform legii interne.</w:t>
            </w:r>
          </w:p>
          <w:p w:rsidR="00255CB9" w:rsidRDefault="00C03C2D">
            <w:pPr>
              <w:widowControl w:val="0"/>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conform argumentelor Guvernului, în măsura în care instanțe</w:t>
            </w:r>
            <w:r>
              <w:rPr>
                <w:rFonts w:ascii="Times New Roman" w:eastAsia="Times New Roman" w:hAnsi="Times New Roman" w:cs="Times New Roman"/>
                <w:sz w:val="24"/>
                <w:szCs w:val="24"/>
              </w:rPr>
              <w:t>le penale s-au referit la existența unui plan comun conceput și pus în aplicare de către reclamant împreună cu alte persoane (a se vedea paragrafele 15 și 16 de mai sus), aceste constatări au fost necesare, în lumina articolului 25 § 2 din Codul Penal (a s</w:t>
            </w:r>
            <w:r>
              <w:rPr>
                <w:rFonts w:ascii="Times New Roman" w:eastAsia="Times New Roman" w:hAnsi="Times New Roman" w:cs="Times New Roman"/>
                <w:sz w:val="24"/>
                <w:szCs w:val="24"/>
              </w:rPr>
              <w:t>e vedea paragraful 30 de mai sus), pentru a stabili că M.S. a comis evaziune fiscală ca coautori. De asemenea, Curtea observă că, conform argumentelor Guvernului, în măsura în care instanțele penale au declarat că reclamantul a comis evaziune fiscală inten</w:t>
            </w:r>
            <w:r>
              <w:rPr>
                <w:rFonts w:ascii="Times New Roman" w:eastAsia="Times New Roman" w:hAnsi="Times New Roman" w:cs="Times New Roman"/>
                <w:sz w:val="24"/>
                <w:szCs w:val="24"/>
              </w:rPr>
              <w:t xml:space="preserve">ționat și ilegal, aceste constatări au fost necesare, în lumina </w:t>
            </w:r>
            <w:r>
              <w:rPr>
                <w:rFonts w:ascii="Times New Roman" w:eastAsia="Times New Roman" w:hAnsi="Times New Roman" w:cs="Times New Roman"/>
                <w:sz w:val="24"/>
                <w:szCs w:val="24"/>
              </w:rPr>
              <w:lastRenderedPageBreak/>
              <w:t>articolului 27 § 1 din Codul Penal, pentru a stabili că M.S. și N.D. l-au ajutat și sprijinit în comiterea acestei infracțiuni. Curtea observă că reclamantul nu a contestat aceste argumente și</w:t>
            </w:r>
            <w:r>
              <w:rPr>
                <w:rFonts w:ascii="Times New Roman" w:eastAsia="Times New Roman" w:hAnsi="Times New Roman" w:cs="Times New Roman"/>
                <w:sz w:val="24"/>
                <w:szCs w:val="24"/>
              </w:rPr>
              <w:t xml:space="preserve"> nu a demonstrat cum instanțele penale ar fi putut să-l condamne pe M.S. și N.D. fără a face afirmațiile contestate. </w:t>
            </w:r>
          </w:p>
          <w:p w:rsidR="00255CB9" w:rsidRDefault="00C03C2D">
            <w:pPr>
              <w:widowControl w:val="0"/>
              <w:numPr>
                <w:ilvl w:val="0"/>
                <w:numId w:val="2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instanțele penale s-au abținut să facă vreo constatare cu privire la „vinovăția” reclamantului (Schuld) în sensul dreptu</w:t>
            </w:r>
            <w:r>
              <w:rPr>
                <w:rFonts w:ascii="Times New Roman" w:eastAsia="Times New Roman" w:hAnsi="Times New Roman" w:cs="Times New Roman"/>
                <w:sz w:val="24"/>
                <w:szCs w:val="24"/>
              </w:rPr>
              <w:t>lui penal german, în special în ceea ce privește întrebarea dacă reclamantul putea invoca o greșeală de drept (Verbotsirrtum) referitoare la natura frauduloasă a tranzacțiilor „Cum‑Ex”, iar această decizie a fost în conformitate cu principiul „accesoriului</w:t>
            </w:r>
            <w:r>
              <w:rPr>
                <w:rFonts w:ascii="Times New Roman" w:eastAsia="Times New Roman" w:hAnsi="Times New Roman" w:cs="Times New Roman"/>
                <w:sz w:val="24"/>
                <w:szCs w:val="24"/>
              </w:rPr>
              <w:t xml:space="preserve"> limitat al ajutorului și înlesnirii” conform legii interne.</w:t>
            </w:r>
          </w:p>
          <w:p w:rsidR="00255CB9" w:rsidRDefault="00C03C2D">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spre deosebire de argumentul înșelător al reclamantului (a se vedea paragraful 50 de mai sus), afirmațiile contestate nu au avut niciun efect obligatoriu conform dreptului pena</w:t>
            </w:r>
            <w:r>
              <w:rPr>
                <w:rFonts w:ascii="Times New Roman" w:eastAsia="Times New Roman" w:hAnsi="Times New Roman" w:cs="Times New Roman"/>
                <w:sz w:val="24"/>
                <w:szCs w:val="24"/>
              </w:rPr>
              <w:t>l german asupra instanței care judeca cazul împotriva sa. Conform dispozițiilor legii germane, nu pot fi trase concluzii despre vinovăția unei persoane în cadrul unor proceduri penale în care aceasta nu a participat (a se vedea paragraful 32 de mai sus și,</w:t>
            </w:r>
            <w:r>
              <w:rPr>
                <w:rFonts w:ascii="Times New Roman" w:eastAsia="Times New Roman" w:hAnsi="Times New Roman" w:cs="Times New Roman"/>
                <w:sz w:val="24"/>
                <w:szCs w:val="24"/>
              </w:rPr>
              <w:t xml:space="preserve"> de asemenea, Karaman, citat mai sus, § 65), iar o persoană acuzată este protejată de prezumția de nevinovăție.</w:t>
            </w:r>
          </w:p>
          <w:p w:rsidR="00255CB9" w:rsidRDefault="00C03C2D">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Totuși, Curtea trebuie să examineze dacă raționamentul instanțelor penale în cazul de față a fost formulat într-un mod care să ridice îndoieli c</w:t>
            </w:r>
            <w:r>
              <w:rPr>
                <w:rFonts w:ascii="Times New Roman" w:eastAsia="Times New Roman" w:hAnsi="Times New Roman" w:cs="Times New Roman"/>
                <w:sz w:val="24"/>
                <w:szCs w:val="24"/>
              </w:rPr>
              <w:t>u privire la o eventuală prejudecare a vinovăției reclamantului (Karaman, citat mai sus, § 65).</w:t>
            </w:r>
          </w:p>
          <w:p w:rsidR="00255CB9" w:rsidRDefault="00C03C2D">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consideră că, prin faptul că s-au referit la reclamant în întreaga lor motivare ca la o „persoană urmărită separat”, instanțele penale au subliniat faptu</w:t>
            </w:r>
            <w:r>
              <w:rPr>
                <w:rFonts w:ascii="Times New Roman" w:eastAsia="Times New Roman" w:hAnsi="Times New Roman" w:cs="Times New Roman"/>
                <w:sz w:val="24"/>
                <w:szCs w:val="24"/>
              </w:rPr>
              <w:t xml:space="preserve">l că nu erau chemate să stabilească vinovăția reclamantului, ci, în conformitate cu </w:t>
            </w:r>
            <w:r>
              <w:rPr>
                <w:rFonts w:ascii="Times New Roman" w:eastAsia="Times New Roman" w:hAnsi="Times New Roman" w:cs="Times New Roman"/>
                <w:sz w:val="24"/>
                <w:szCs w:val="24"/>
              </w:rPr>
              <w:lastRenderedPageBreak/>
              <w:t>dispozițiile legii interne privind procedura penală, erau doar preocupate de evaluarea răspunderii penale a celor acuzați în cadrul procedurilor respective, și anume M.S. ș</w:t>
            </w:r>
            <w:r>
              <w:rPr>
                <w:rFonts w:ascii="Times New Roman" w:eastAsia="Times New Roman" w:hAnsi="Times New Roman" w:cs="Times New Roman"/>
                <w:sz w:val="24"/>
                <w:szCs w:val="24"/>
              </w:rPr>
              <w:t xml:space="preserve">i N.D. (a se vedea Karaman, § 69, și Bauras, § 54, ambele citate mai sus; a se compara cu hotărârea CJUE în cazul AH și alții, citată în paragraful 36 de mai sus, referitor la afirmațiile dintr-un acord de recunoaștere a vinovăției încheiat de unul dintre </w:t>
            </w:r>
            <w:r>
              <w:rPr>
                <w:rFonts w:ascii="Times New Roman" w:eastAsia="Times New Roman" w:hAnsi="Times New Roman" w:cs="Times New Roman"/>
                <w:sz w:val="24"/>
                <w:szCs w:val="24"/>
              </w:rPr>
              <w:t>mai mulți acuzați).</w:t>
            </w:r>
          </w:p>
          <w:p w:rsidR="00255CB9" w:rsidRDefault="00C03C2D">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considerațiile de mai sus, Curtea concluzionează că afirmațiile contestate din motivarea hotărârii Curții Regionale din 18 martie 2020 și hotărârea Curții Federale de Justiție din 28 iulie 2021 nu au avut efecte prejudic</w:t>
            </w:r>
            <w:r>
              <w:rPr>
                <w:rFonts w:ascii="Times New Roman" w:eastAsia="Times New Roman" w:hAnsi="Times New Roman" w:cs="Times New Roman"/>
                <w:sz w:val="24"/>
                <w:szCs w:val="24"/>
              </w:rPr>
              <w:t>iabile și, prin urmare, nu au încălcat principiul prezumției de nevinovăție.</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 există încălcare </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Grecia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p w:rsidR="00255CB9" w:rsidRDefault="00255CB9">
            <w:pPr>
              <w:widowControl w:val="0"/>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Accesul la justiție </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08.10.2024</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 și alții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Teren, expropriere, plan de urbanism, zonă verde, administrație, </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speță, Curtea observă că, pe lângă diversele tentative de expropriere începute din 24 martie 2003, terenurile reclamantelor au fost, de asemenea, supuse unor blocaje sub forma unei serii </w:t>
            </w:r>
            <w:r>
              <w:rPr>
                <w:rFonts w:ascii="Times New Roman" w:eastAsia="Times New Roman" w:hAnsi="Times New Roman" w:cs="Times New Roman"/>
                <w:sz w:val="24"/>
                <w:szCs w:val="24"/>
              </w:rPr>
              <w:t>de decizii, realocări și recalificări adoptate de diferite autorități locale și de Ministerul Mediului. Curtea remarcă faptul că atât Hotărârea nr. 720/2015 din 4 martie 2015 a Consiliului de Stat (paragraful 13 de mai sus), care dispunea anularea deciziei</w:t>
            </w:r>
            <w:r>
              <w:rPr>
                <w:rFonts w:ascii="Times New Roman" w:eastAsia="Times New Roman" w:hAnsi="Times New Roman" w:cs="Times New Roman"/>
                <w:sz w:val="24"/>
                <w:szCs w:val="24"/>
              </w:rPr>
              <w:t xml:space="preserve"> Secretarului General al Regiunii Attica din 24 martie 2003 privind modificarea planului urbanistic referitor la terenurile reclamantelor și clasarea acestora în spațiu verde și zonă pietonală (a doua expropriere, paragraful 10 de mai sus), pe de o parte, </w:t>
            </w:r>
            <w:r>
              <w:rPr>
                <w:rFonts w:ascii="Times New Roman" w:eastAsia="Times New Roman" w:hAnsi="Times New Roman" w:cs="Times New Roman"/>
                <w:sz w:val="24"/>
                <w:szCs w:val="24"/>
              </w:rPr>
              <w:t>cât și deciziile comitetului de trei membri al Consiliului de Stat responsabil cu supravegherea executării hotărârilor, pe de altă parte, au rămas fără efect. Astfel, reclamantele nu au reușit să obțină anularea deciziilor de expropriere care le vizau, rid</w:t>
            </w:r>
            <w:r>
              <w:rPr>
                <w:rFonts w:ascii="Times New Roman" w:eastAsia="Times New Roman" w:hAnsi="Times New Roman" w:cs="Times New Roman"/>
                <w:sz w:val="24"/>
                <w:szCs w:val="24"/>
              </w:rPr>
              <w:t xml:space="preserve">icarea restricțiilor impuse asupra terenurilor lor sau recalificarea </w:t>
            </w:r>
            <w:r>
              <w:rPr>
                <w:rFonts w:ascii="Times New Roman" w:eastAsia="Times New Roman" w:hAnsi="Times New Roman" w:cs="Times New Roman"/>
                <w:sz w:val="24"/>
                <w:szCs w:val="24"/>
              </w:rPr>
              <w:lastRenderedPageBreak/>
              <w:t>proprietăților lor în terenuri construibile. Aceasta este o situație care durează din 2003 și care, conform elementelor de care dispune Curtea, rămâne neschimbată până în prezent.</w:t>
            </w:r>
          </w:p>
          <w:p w:rsidR="00255CB9" w:rsidRDefault="00C03C2D">
            <w:pPr>
              <w:widowControl w:val="0"/>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w:t>
            </w:r>
            <w:r>
              <w:rPr>
                <w:rFonts w:ascii="Times New Roman" w:eastAsia="Times New Roman" w:hAnsi="Times New Roman" w:cs="Times New Roman"/>
                <w:sz w:val="24"/>
                <w:szCs w:val="24"/>
              </w:rPr>
              <w:t>n vedere elementele de mai sus, Curtea consideră că este pe deplin justificat ca reclamantele să susțină că autoritățile naționale au omis să se conformeze hotărârii menționate anterior a Consiliului de Stat și au încălcat astfel articolul 6 § 1 din Conven</w:t>
            </w:r>
            <w:r>
              <w:rPr>
                <w:rFonts w:ascii="Times New Roman" w:eastAsia="Times New Roman" w:hAnsi="Times New Roman" w:cs="Times New Roman"/>
                <w:sz w:val="24"/>
                <w:szCs w:val="24"/>
              </w:rPr>
              <w:t>ție. Prin urmare, a avut loc o încălcare a acestei dispoziții.</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Grecia Încălcare</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Prejudiciu moral 10 000 euro</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Costuri și cheltuieli 1 500 euro</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Albania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05.03.2024</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Leka</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15-31</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Tentativă de omor, tâlhărie, condamnare cu privare de libertate pe viață, armă de foc</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ceea ce privește modul în care a fost efectuată recunoașterea identității, Curtea notează că este adevărat că hainele purtate de celelalte două persoane din aliniere e</w:t>
            </w:r>
            <w:r>
              <w:rPr>
                <w:rFonts w:ascii="Times New Roman" w:eastAsia="Times New Roman" w:hAnsi="Times New Roman" w:cs="Times New Roman"/>
                <w:sz w:val="24"/>
                <w:szCs w:val="24"/>
              </w:rPr>
              <w:t>rau diferite de cele purtate de reclamant. Cu toate acestea, spre deosebire de situația din cauzele Laska și Lika, în prezenta cauză, hainele purtate de reclamant nu au avut o relevanță semnificativă, întrucât P.S., care l-a identificat pe reclamant ca fii</w:t>
            </w:r>
            <w:r>
              <w:rPr>
                <w:rFonts w:ascii="Times New Roman" w:eastAsia="Times New Roman" w:hAnsi="Times New Roman" w:cs="Times New Roman"/>
                <w:sz w:val="24"/>
                <w:szCs w:val="24"/>
              </w:rPr>
              <w:t>nd autorul faptei în timpul recunoașterii identității, îi văzuse deja clar fața. Prin urmare, nu se poate spune că l-a recunoscut pe reclamant după hainele pe care acesta le purta. De asemenea, înainte de a fi invitat să observe persoanele din cadrul parad</w:t>
            </w:r>
            <w:r>
              <w:rPr>
                <w:rFonts w:ascii="Times New Roman" w:eastAsia="Times New Roman" w:hAnsi="Times New Roman" w:cs="Times New Roman"/>
                <w:sz w:val="24"/>
                <w:szCs w:val="24"/>
              </w:rPr>
              <w:t>ei, P.S. a dat o descriere detaliată a făptuitorului.</w:t>
            </w:r>
          </w:p>
          <w:p w:rsidR="00255CB9" w:rsidRDefault="00C03C2D">
            <w:pPr>
              <w:widowControl w:val="0"/>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 Curtea observă că hotărârea de apel nu a menționat recunoașterea identității în enumerarea probelor în baza cărora a stabilit vinovăția reclamantului. Martorul P.S., care l-a identificat pe</w:t>
            </w:r>
            <w:r>
              <w:rPr>
                <w:rFonts w:ascii="Times New Roman" w:eastAsia="Times New Roman" w:hAnsi="Times New Roman" w:cs="Times New Roman"/>
                <w:sz w:val="24"/>
                <w:szCs w:val="24"/>
              </w:rPr>
              <w:t xml:space="preserve"> reclamant în timpul recunoașterii identității, a depus mărturie în timpul procesului, iar instanțele au ținut cont de această probă în hotărârile lor. Astfel cum s-a arătat mai sus, probele furnizate de P.S. la proces au fost coroborate cu probele obținut</w:t>
            </w:r>
            <w:r>
              <w:rPr>
                <w:rFonts w:ascii="Times New Roman" w:eastAsia="Times New Roman" w:hAnsi="Times New Roman" w:cs="Times New Roman"/>
                <w:sz w:val="24"/>
                <w:szCs w:val="24"/>
              </w:rPr>
              <w:t xml:space="preserve">e prin măsura de supraveghere secretă și cu probele furnizate de D.L. și V.K. Rezultă că nu a existat nicio încălcare a articolului 6 § 1 din Convenție în ceea </w:t>
            </w:r>
            <w:r>
              <w:rPr>
                <w:rFonts w:ascii="Times New Roman" w:eastAsia="Times New Roman" w:hAnsi="Times New Roman" w:cs="Times New Roman"/>
                <w:sz w:val="24"/>
                <w:szCs w:val="24"/>
              </w:rPr>
              <w:lastRenderedPageBreak/>
              <w:t>ce privește modul în care a fost efectuată recunoașterea identității.</w:t>
            </w:r>
          </w:p>
          <w:p w:rsidR="00255CB9" w:rsidRDefault="00C03C2D">
            <w:pPr>
              <w:widowControl w:val="0"/>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altă ordine de idei, la</w:t>
            </w:r>
            <w:r>
              <w:rPr>
                <w:rFonts w:ascii="Times New Roman" w:eastAsia="Times New Roman" w:hAnsi="Times New Roman" w:cs="Times New Roman"/>
                <w:sz w:val="24"/>
                <w:szCs w:val="24"/>
              </w:rPr>
              <w:t xml:space="preserve"> proces, reclamantul și-a schimbat declarația, susținând că A.S. îi datora bani și că A.S. adusese armă pe care reclamantul a luat-o de la el și a împușcat pe A.S. atunci când izbucnise o ceartă .</w:t>
            </w:r>
          </w:p>
          <w:p w:rsidR="00255CB9" w:rsidRDefault="00C03C2D">
            <w:pPr>
              <w:widowControl w:val="0"/>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Rezultă că reclamantul a avut o oportunitate adecvată, în c</w:t>
            </w:r>
            <w:r>
              <w:rPr>
                <w:rFonts w:ascii="Times New Roman" w:eastAsia="Times New Roman" w:hAnsi="Times New Roman" w:cs="Times New Roman"/>
                <w:sz w:val="24"/>
                <w:szCs w:val="24"/>
              </w:rPr>
              <w:t>adrul anchetei și la procesul din instanța de primă instanță, de a-și susține apărarea în legătură cu elementele constitutive ale infracțiunii de jaf care a dus la moartea unei persoane, care nu i-a fost imprevizibilă în niciun sens esențial. În apărarea s</w:t>
            </w:r>
            <w:r>
              <w:rPr>
                <w:rFonts w:ascii="Times New Roman" w:eastAsia="Times New Roman" w:hAnsi="Times New Roman" w:cs="Times New Roman"/>
                <w:sz w:val="24"/>
                <w:szCs w:val="24"/>
              </w:rPr>
              <w:t>a, el a abordat circumstanțele relevante pentru infracțiunea de jaf. Prin urmare, reînnoirea acuzațiilor de către instanța de apel nu a crescut povara asupra reclamantului.</w:t>
            </w:r>
          </w:p>
          <w:p w:rsidR="00255CB9" w:rsidRDefault="00C03C2D">
            <w:pPr>
              <w:widowControl w:val="0"/>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Evaluând corectitudinea procesului în ansamblul său, Curtea nu poate accepta argume</w:t>
            </w:r>
            <w:r>
              <w:rPr>
                <w:rFonts w:ascii="Times New Roman" w:eastAsia="Times New Roman" w:hAnsi="Times New Roman" w:cs="Times New Roman"/>
                <w:sz w:val="24"/>
                <w:szCs w:val="24"/>
              </w:rPr>
              <w:t>ntul că reclamantul nu a fost suficient informat despre natura și cauza acuzației împotriva sa în scopul articolului 6 § 3 (a) din Convenție, sau că nu a fost respectată garanția prevăzută la articolul 6 § 3 (b) din Convenție, sau că i-a fost refuzat un pr</w:t>
            </w:r>
            <w:r>
              <w:rPr>
                <w:rFonts w:ascii="Times New Roman" w:eastAsia="Times New Roman" w:hAnsi="Times New Roman" w:cs="Times New Roman"/>
                <w:sz w:val="24"/>
                <w:szCs w:val="24"/>
              </w:rPr>
              <w:t>oces echitabil în sensul articolului 6 § 1 din Convenție.</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 există încălcare </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Ucraina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Excluderea din sala de judecată</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Excluderea publicului de la </w:t>
            </w:r>
            <w:r>
              <w:rPr>
                <w:rFonts w:ascii="Times New Roman" w:eastAsia="Times New Roman" w:hAnsi="Times New Roman" w:cs="Times New Roman"/>
                <w:sz w:val="24"/>
                <w:szCs w:val="24"/>
              </w:rPr>
              <w:lastRenderedPageBreak/>
              <w:t xml:space="preserve">audieri în fața instanței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asistență juridică</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Audierea reclamanților</w:t>
            </w: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06.10.2023</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Suslov și Batikyan </w:t>
            </w: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24-42</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Omor calificat, privațiune de libertate pe viață, crimă comandată, </w:t>
            </w:r>
          </w:p>
        </w:tc>
        <w:tc>
          <w:tcPr>
            <w:tcW w:w="6840" w:type="dxa"/>
            <w:shd w:val="clear" w:color="auto" w:fill="auto"/>
            <w:tcMar>
              <w:top w:w="100" w:type="dxa"/>
              <w:left w:w="100" w:type="dxa"/>
              <w:bottom w:w="100" w:type="dxa"/>
              <w:right w:w="100" w:type="dxa"/>
            </w:tcMar>
          </w:tcPr>
          <w:p w:rsidR="00255CB9" w:rsidRDefault="00C03C2D">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Ședință de tip închis/ Primul reclamant</w:t>
            </w:r>
          </w:p>
          <w:p w:rsidR="00255CB9" w:rsidRDefault="00C03C2D">
            <w:pPr>
              <w:widowControl w:val="0"/>
              <w:numPr>
                <w:ilvl w:val="0"/>
                <w:numId w:val="8"/>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deși legea ucraineană impunea ca orice abatere de la principiul unui proces public să fie justificată printr-o decizie judecătorească motivată, în cazul de față, instanța de district a dispus un proces de tip închis  fără ca o astfel de </w:t>
            </w:r>
            <w:r>
              <w:rPr>
                <w:rFonts w:ascii="Times New Roman" w:eastAsia="Times New Roman" w:hAnsi="Times New Roman" w:cs="Times New Roman"/>
                <w:sz w:val="24"/>
                <w:szCs w:val="24"/>
              </w:rPr>
              <w:t xml:space="preserve">decizie să fi fost emisă . Instanța a acceptat pur și simplu cererea rudelor victimei de a exclude publicul, bazându-se pe ceea ce au susținut ele a fi considerente de </w:t>
            </w:r>
            <w:r>
              <w:rPr>
                <w:rFonts w:ascii="Times New Roman" w:eastAsia="Times New Roman" w:hAnsi="Times New Roman" w:cs="Times New Roman"/>
                <w:sz w:val="24"/>
                <w:szCs w:val="24"/>
              </w:rPr>
              <w:lastRenderedPageBreak/>
              <w:t>securitate și confidențialitate. În primul rând, rudele victimei s-au referit la prezenț</w:t>
            </w:r>
            <w:r>
              <w:rPr>
                <w:rFonts w:ascii="Times New Roman" w:eastAsia="Times New Roman" w:hAnsi="Times New Roman" w:cs="Times New Roman"/>
                <w:sz w:val="24"/>
                <w:szCs w:val="24"/>
              </w:rPr>
              <w:t>a în sala de judecată a unor rude ale primului reclamant care ar fi amenințat cu represalii. Instanța ar fi putut răspunde acestei îngrijorări aducând persoanele respective la ordine sau eliminându-le din sala de judecată, mai degrabă decât să închidă într</w:t>
            </w:r>
            <w:r>
              <w:rPr>
                <w:rFonts w:ascii="Times New Roman" w:eastAsia="Times New Roman" w:hAnsi="Times New Roman" w:cs="Times New Roman"/>
                <w:sz w:val="24"/>
                <w:szCs w:val="24"/>
              </w:rPr>
              <w:t xml:space="preserve">egul proces publicului. În al doilea rând, victimele au susținut că „audierile publice ar putea încălca [secretele lor comerciale și viața lor privată]”. Această preocupare pentru confidențialitate a fost exprimată într-un mod vag. Chiar presupunând că ar </w:t>
            </w:r>
            <w:r>
              <w:rPr>
                <w:rFonts w:ascii="Times New Roman" w:eastAsia="Times New Roman" w:hAnsi="Times New Roman" w:cs="Times New Roman"/>
                <w:sz w:val="24"/>
                <w:szCs w:val="24"/>
              </w:rPr>
              <w:t>fi avut unele temeiuri, ea ar fi putut fi relevantă doar pentru anumite audieri specifice sau măsuri procedurale, nu pentru întregul proces.</w:t>
            </w:r>
          </w:p>
          <w:p w:rsidR="00255CB9" w:rsidRDefault="00C03C2D">
            <w:pPr>
              <w:widowControl w:val="0"/>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Rezultă că, înainte de a exclude publicul de la proces, instanța de district nu a făcut nici constatări specifice c</w:t>
            </w:r>
            <w:r>
              <w:rPr>
                <w:rFonts w:ascii="Times New Roman" w:eastAsia="Times New Roman" w:hAnsi="Times New Roman" w:cs="Times New Roman"/>
                <w:sz w:val="24"/>
                <w:szCs w:val="24"/>
              </w:rPr>
              <w:t>ă închiderea procesului era necesară pentru a proteja un interes public imperios și nici nu a limitat confidențialitatea în măsura necesară pentru a păstra un astfel de interes.</w:t>
            </w:r>
          </w:p>
          <w:p w:rsidR="00255CB9" w:rsidRDefault="00C03C2D">
            <w:pPr>
              <w:widowControl w:val="0"/>
              <w:numPr>
                <w:ilvl w:val="0"/>
                <w:numId w:val="8"/>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Niciuna dintre deficiențele menționate mai sus nu a fost abordată de instanța </w:t>
            </w:r>
            <w:r>
              <w:rPr>
                <w:rFonts w:ascii="Times New Roman" w:eastAsia="Times New Roman" w:hAnsi="Times New Roman" w:cs="Times New Roman"/>
                <w:sz w:val="24"/>
                <w:szCs w:val="24"/>
              </w:rPr>
              <w:t>de apel în hotărârea sa prin care a menținut sentința primei instanțe. În ceea ce privește examinarea publică a cauzei de către Curtea de Apel și Curtea Superioară Specializată, aceasta nu a fost, în sine, suficientă pentru a remedia situația, având în ved</w:t>
            </w:r>
            <w:r>
              <w:rPr>
                <w:rFonts w:ascii="Times New Roman" w:eastAsia="Times New Roman" w:hAnsi="Times New Roman" w:cs="Times New Roman"/>
                <w:sz w:val="24"/>
                <w:szCs w:val="24"/>
              </w:rPr>
              <w:t xml:space="preserve">ere că examinarea în aceste etape a fost limitată, întrucât nu au fost audiați martori în persoană și nu au fost întreprinse măsuri de anchetă directe Curtea concluzionează, prin urmare, că a existat o încălcare a articolului 6 § 1 din Convenție din cauza </w:t>
            </w:r>
            <w:r>
              <w:rPr>
                <w:rFonts w:ascii="Times New Roman" w:eastAsia="Times New Roman" w:hAnsi="Times New Roman" w:cs="Times New Roman"/>
                <w:sz w:val="24"/>
                <w:szCs w:val="24"/>
              </w:rPr>
              <w:t>lipsei unui proces public în cazul reclamanților.</w:t>
            </w:r>
          </w:p>
          <w:p w:rsidR="00255CB9" w:rsidRDefault="00C03C2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55CB9" w:rsidRDefault="00C03C2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Excluderea din sala de judecată </w:t>
            </w:r>
          </w:p>
          <w:p w:rsidR="00255CB9" w:rsidRDefault="00C03C2D">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Curtea consideră că comportamentul primului reclamant de a striga, de a face gesturi obsce</w:t>
            </w:r>
            <w:r>
              <w:rPr>
                <w:rFonts w:ascii="Times New Roman" w:eastAsia="Times New Roman" w:hAnsi="Times New Roman" w:cs="Times New Roman"/>
                <w:sz w:val="24"/>
                <w:szCs w:val="24"/>
              </w:rPr>
              <w:t>ne și comentarii lipsite de respect și de a ignora ordinele președintelui completului de judecată a perturbat în mod clar ordinea în sala de judecată. Nu s-ar fi putut aștepta ca instanța de fond să rămână pasivă și să permită un astfel de comportament.</w:t>
            </w:r>
          </w:p>
          <w:p w:rsidR="00255CB9" w:rsidRDefault="00C03C2D">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asemenea, Curtea notează că primul reclamant a fost mustrat în cel puțin douăzeci și cinci de ocazii pentru comportamentul său necorespunzător în cadrul procedurilor în fața instanței de judecată. El a fost informat pe deplin și în mod corect că comportam</w:t>
            </w:r>
            <w:r>
              <w:rPr>
                <w:rFonts w:ascii="Times New Roman" w:eastAsia="Times New Roman" w:hAnsi="Times New Roman" w:cs="Times New Roman"/>
                <w:sz w:val="24"/>
                <w:szCs w:val="24"/>
              </w:rPr>
              <w:t>entul său era greșit și intolerabil și a fost avertizat cu privire la posibilele consecințe. În plus, înainte de a dispune îndepărtarea primului reclamant din sala de judecată până la sfârșitul procesului, președintele instanței a dispus de două ori îndepă</w:t>
            </w:r>
            <w:r>
              <w:rPr>
                <w:rFonts w:ascii="Times New Roman" w:eastAsia="Times New Roman" w:hAnsi="Times New Roman" w:cs="Times New Roman"/>
                <w:sz w:val="24"/>
                <w:szCs w:val="24"/>
              </w:rPr>
              <w:t>rtarea acestuia până la sfârșitul ședinței de judecată. În pofida tuturor acestor măsuri, primul reclamant nu și-a schimbat comportamentul. În consecință, pentru Curte nu există nicio îndoială că primul reclamant, persistând în comportamentul său reprobabi</w:t>
            </w:r>
            <w:r>
              <w:rPr>
                <w:rFonts w:ascii="Times New Roman" w:eastAsia="Times New Roman" w:hAnsi="Times New Roman" w:cs="Times New Roman"/>
                <w:sz w:val="24"/>
                <w:szCs w:val="24"/>
              </w:rPr>
              <w:t>l, a renunțat la dreptul său de a fi prezent la proces [a se compara Idalov v. Russia (nr. 2), nr. 41858/08, § 150, 13 decembrie 2016).</w:t>
            </w:r>
          </w:p>
          <w:p w:rsidR="00255CB9" w:rsidRDefault="00C03C2D">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relevant să se observe că renunțarea primului reclamant a fost însoțită de garanții minime, având în vedere că avoc</w:t>
            </w:r>
            <w:r>
              <w:rPr>
                <w:rFonts w:ascii="Times New Roman" w:eastAsia="Times New Roman" w:hAnsi="Times New Roman" w:cs="Times New Roman"/>
                <w:sz w:val="24"/>
                <w:szCs w:val="24"/>
              </w:rPr>
              <w:t>atul său a participat la audieri și i-a asigurat apărarea în mod corespunzător. Prin urmare, Curtea consideră că nu a existat nicio încălcare a articolului 6 §§ 1 și 3 (c) și (d) din Convenție în această privință.</w:t>
            </w:r>
          </w:p>
          <w:p w:rsidR="00255CB9" w:rsidRDefault="00C03C2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255CB9" w:rsidRDefault="00C03C2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Pregătirea apărării/audierea </w:t>
            </w:r>
          </w:p>
          <w:p w:rsidR="00255CB9" w:rsidRDefault="00C03C2D">
            <w:pPr>
              <w:widowControl w:val="0"/>
              <w:numPr>
                <w:ilvl w:val="0"/>
                <w:numId w:val="16"/>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Guvernul nu a combătut, nici nu a comentat, </w:t>
            </w:r>
            <w:r>
              <w:rPr>
                <w:rFonts w:ascii="Times New Roman" w:eastAsia="Times New Roman" w:hAnsi="Times New Roman" w:cs="Times New Roman"/>
                <w:sz w:val="24"/>
                <w:szCs w:val="24"/>
              </w:rPr>
              <w:lastRenderedPageBreak/>
              <w:t>afirmația primului reclamant conform căreia, înainte de fiecare audiere, acesta era trezit la aproximativ 6 dimineața și trebuia să aștepte câteva ore în condiții precare</w:t>
            </w:r>
          </w:p>
          <w:p w:rsidR="00255CB9" w:rsidRDefault="00C03C2D">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de asem</w:t>
            </w:r>
            <w:r>
              <w:rPr>
                <w:rFonts w:ascii="Times New Roman" w:eastAsia="Times New Roman" w:hAnsi="Times New Roman" w:cs="Times New Roman"/>
                <w:sz w:val="24"/>
                <w:szCs w:val="24"/>
              </w:rPr>
              <w:t xml:space="preserve">enea, că afirmația Guvernului privind aranjamentele de aprovizionare cu hrană pentru primul reclamant în zilele de audiere nu este susținută de nicio dovadă. Deși Guvernul a declarat că primul reclamant a primit un pachet cu mâncare de fiecare dată când a </w:t>
            </w:r>
            <w:r>
              <w:rPr>
                <w:rFonts w:ascii="Times New Roman" w:eastAsia="Times New Roman" w:hAnsi="Times New Roman" w:cs="Times New Roman"/>
                <w:sz w:val="24"/>
                <w:szCs w:val="24"/>
              </w:rPr>
              <w:t>părăsit locul de detenție pentru o audiere judiciară, aceștia nu au furnizat o copie a unui extras din registrul relevant păstrat la SIZO-ul din Kiev, ceea ce subminează credibilitatea afirmației lor. Prin urmare, Curtea va presupune că primul reclamant nu</w:t>
            </w:r>
            <w:r>
              <w:rPr>
                <w:rFonts w:ascii="Times New Roman" w:eastAsia="Times New Roman" w:hAnsi="Times New Roman" w:cs="Times New Roman"/>
                <w:sz w:val="24"/>
                <w:szCs w:val="24"/>
              </w:rPr>
              <w:t xml:space="preserve"> a primit niciun fel de hrană în zilele de audiere.</w:t>
            </w:r>
          </w:p>
          <w:p w:rsidR="00255CB9" w:rsidRDefault="00C03C2D">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cele de mai sus, Curtea consideră, fără a analiza intensitatea programului instanței sau raționalitatea duratei audierilor, că este foarte probabil ca primul reclamant să fi fost afectat d</w:t>
            </w:r>
            <w:r>
              <w:rPr>
                <w:rFonts w:ascii="Times New Roman" w:eastAsia="Times New Roman" w:hAnsi="Times New Roman" w:cs="Times New Roman"/>
                <w:sz w:val="24"/>
                <w:szCs w:val="24"/>
              </w:rPr>
              <w:t>e lipsa de hrană și de odihnă.</w:t>
            </w:r>
          </w:p>
          <w:p w:rsidR="00255CB9" w:rsidRDefault="00C03C2D">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asemenea, Curtea nu acceptă afirmația vag formulată a Guvernului referitoare la absența oricărei confirmări a faptului că primul reclamant ar fi fost închis într-o cușcă metalică sau într-un cub de sticlă în timpul audieri</w:t>
            </w:r>
            <w:r>
              <w:rPr>
                <w:rFonts w:ascii="Times New Roman" w:eastAsia="Times New Roman" w:hAnsi="Times New Roman" w:cs="Times New Roman"/>
                <w:sz w:val="24"/>
                <w:szCs w:val="24"/>
              </w:rPr>
              <w:t xml:space="preserve">lor, având în vedere că aceasta era procedura standard în Ucraina (vezi, de exemplu, Lutsenko v. Ucraina (nr. 2), nr. 29334/11, § 165, 11 iunie 2015, și Korban v. Ucraina, nr. 26744/16, § 132, 4 iulie 2019) și că nu există nicio indicație că s-ar fi făcut </w:t>
            </w:r>
            <w:r>
              <w:rPr>
                <w:rFonts w:ascii="Times New Roman" w:eastAsia="Times New Roman" w:hAnsi="Times New Roman" w:cs="Times New Roman"/>
                <w:sz w:val="24"/>
                <w:szCs w:val="24"/>
              </w:rPr>
              <w:t>vreo abatere de la această procedură în cazul de față. Mai mult, este un fapt stabilit că primul reclamant a fost permanent încătușat în timpul audierilor.</w:t>
            </w:r>
          </w:p>
          <w:p w:rsidR="00255CB9" w:rsidRDefault="00C03C2D">
            <w:pPr>
              <w:widowControl w:val="0"/>
              <w:numPr>
                <w:ilvl w:val="0"/>
                <w:numId w:val="1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ia notă, de asemenea, de restricțiile grave asupra dreptului primului reclamant de a se consu</w:t>
            </w:r>
            <w:r>
              <w:rPr>
                <w:rFonts w:ascii="Times New Roman" w:eastAsia="Times New Roman" w:hAnsi="Times New Roman" w:cs="Times New Roman"/>
                <w:sz w:val="24"/>
                <w:szCs w:val="24"/>
              </w:rPr>
              <w:t xml:space="preserve">lta cu avocatul său în timpul audierilor. Astfel, așa cum a fost confirmat de </w:t>
            </w:r>
            <w:r>
              <w:rPr>
                <w:rFonts w:ascii="Times New Roman" w:eastAsia="Times New Roman" w:hAnsi="Times New Roman" w:cs="Times New Roman"/>
                <w:sz w:val="24"/>
                <w:szCs w:val="24"/>
              </w:rPr>
              <w:lastRenderedPageBreak/>
              <w:t xml:space="preserve">Ministerul de Interne, de fiecare dată când dorea să discute cu avocatul său în sala de judecată, acesta trebuia să adreseze o cerere unui gardian, care, la rândul său, solicita </w:t>
            </w:r>
            <w:r>
              <w:rPr>
                <w:rFonts w:ascii="Times New Roman" w:eastAsia="Times New Roman" w:hAnsi="Times New Roman" w:cs="Times New Roman"/>
                <w:sz w:val="24"/>
                <w:szCs w:val="24"/>
              </w:rPr>
              <w:t>permisiunea președintelui instanței. Doar după aceea, și de obicei în timpul pauzelor, i se permitea să se consulte cu avocatul său.</w:t>
            </w:r>
          </w:p>
          <w:p w:rsidR="00255CB9" w:rsidRDefault="00C03C2D">
            <w:pPr>
              <w:widowControl w:val="0"/>
              <w:numPr>
                <w:ilvl w:val="0"/>
                <w:numId w:val="1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Considerațiile menționate mai sus sunt suficiente pentru ca Curtea să concluzioneze că primului reclamant nu i-au fost ofer</w:t>
            </w:r>
            <w:r>
              <w:rPr>
                <w:rFonts w:ascii="Times New Roman" w:eastAsia="Times New Roman" w:hAnsi="Times New Roman" w:cs="Times New Roman"/>
                <w:sz w:val="24"/>
                <w:szCs w:val="24"/>
              </w:rPr>
              <w:t>ite condiții adecvate pentru pregătirea apărării sale, ceea ce a subminat cerințele unui proces echitabil și ale egalității armelor, încălcând astfel articolul 6 §§ 1 și 3 (b) și (c) din Convenție.</w:t>
            </w:r>
          </w:p>
          <w:p w:rsidR="00255CB9" w:rsidRDefault="00C03C2D">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----------------------Absența martorilor </w:t>
            </w:r>
          </w:p>
          <w:p w:rsidR="00255CB9" w:rsidRDefault="00C03C2D">
            <w:pPr>
              <w:widowControl w:val="0"/>
              <w:numPr>
                <w:ilvl w:val="0"/>
                <w:numId w:val="22"/>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de la bun început că nu este clar dacă martorii menționați ca A.I., M.A. și A.A. au fost într-adevăr martori anonimi, așa cum susține primul reclamant, având în vedere că acestea erau numele reale ale cunoscuților săi. Deși în cadrul procedu</w:t>
            </w:r>
            <w:r>
              <w:rPr>
                <w:rFonts w:ascii="Times New Roman" w:eastAsia="Times New Roman" w:hAnsi="Times New Roman" w:cs="Times New Roman"/>
                <w:sz w:val="24"/>
                <w:szCs w:val="24"/>
              </w:rPr>
              <w:t>rilor interne s-a menționat că au fost aplicate măsuri de securitate acestor persoane, natura acestora nu a fost specificată. De asemenea, nu s-a menționat că acordarea anonimatului sau confidențialității ar fi făcut parte din acele măsuri.</w:t>
            </w:r>
          </w:p>
          <w:p w:rsidR="00255CB9" w:rsidRDefault="00C03C2D">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fost sarcina </w:t>
            </w:r>
            <w:r>
              <w:rPr>
                <w:rFonts w:ascii="Times New Roman" w:eastAsia="Times New Roman" w:hAnsi="Times New Roman" w:cs="Times New Roman"/>
                <w:sz w:val="24"/>
                <w:szCs w:val="24"/>
              </w:rPr>
              <w:t xml:space="preserve">instanței de judecată să clarifice acest aspect și să examineze, dacă era cazul, dacă existau motive întemeiate care justificau protecția identității martorilor (comparați cu Boshkoski, citat mai sus, §§ 41-44). Cu toate acestea, nu a fost efectuată nicio </w:t>
            </w:r>
            <w:r>
              <w:rPr>
                <w:rFonts w:ascii="Times New Roman" w:eastAsia="Times New Roman" w:hAnsi="Times New Roman" w:cs="Times New Roman"/>
                <w:sz w:val="24"/>
                <w:szCs w:val="24"/>
              </w:rPr>
              <w:t xml:space="preserve">astfel de evaluare. Deși procurorul a făcut referire la unele măsuri de securitate nespecificate ca motiv pentru absența martorilor de la audierea în instanță, martorii înșiși, în telegramele adresate instanței, nu au menționat nici </w:t>
            </w:r>
            <w:r>
              <w:rPr>
                <w:rFonts w:ascii="Times New Roman" w:eastAsia="Times New Roman" w:hAnsi="Times New Roman" w:cs="Times New Roman"/>
                <w:sz w:val="24"/>
                <w:szCs w:val="24"/>
              </w:rPr>
              <w:lastRenderedPageBreak/>
              <w:t>măcar vreo măsură de se</w:t>
            </w:r>
            <w:r>
              <w:rPr>
                <w:rFonts w:ascii="Times New Roman" w:eastAsia="Times New Roman" w:hAnsi="Times New Roman" w:cs="Times New Roman"/>
                <w:sz w:val="24"/>
                <w:szCs w:val="24"/>
              </w:rPr>
              <w:t>curitate, ci au făcut referire, în termeni vagi, la starea lor de sănătate precară și la dificultățile financiare. Având în vedere vagiile explicații și lipsa de consistență a acestora, Curtea nu consideră că a existat un motiv valid pentru a nu audia mart</w:t>
            </w:r>
            <w:r>
              <w:rPr>
                <w:rFonts w:ascii="Times New Roman" w:eastAsia="Times New Roman" w:hAnsi="Times New Roman" w:cs="Times New Roman"/>
                <w:sz w:val="24"/>
                <w:szCs w:val="24"/>
              </w:rPr>
              <w:t>orii A.I., M.A. și A.A. în fața instanței de judecată.</w:t>
            </w:r>
          </w:p>
          <w:p w:rsidR="00255CB9" w:rsidRDefault="00C03C2D">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în continuare că declarațiile a doi dintre acești martori, A.I. și A.A., s-au limitat la a afirma existența unui conflict între primul reclamant și Sh.A. Cu alte cuvinte, acele dovezi nu</w:t>
            </w:r>
            <w:r>
              <w:rPr>
                <w:rFonts w:ascii="Times New Roman" w:eastAsia="Times New Roman" w:hAnsi="Times New Roman" w:cs="Times New Roman"/>
                <w:sz w:val="24"/>
                <w:szCs w:val="24"/>
              </w:rPr>
              <w:t xml:space="preserve"> au constituit singura sau decizia de bază pentru condamnarea primului reclamant. De asemenea, nu pot fi considerate ca având o importanță semnificativă. Situația a fost diferită în ceea ce privește declarația lui M.A., care, așa cum a subliniat corect pri</w:t>
            </w:r>
            <w:r>
              <w:rPr>
                <w:rFonts w:ascii="Times New Roman" w:eastAsia="Times New Roman" w:hAnsi="Times New Roman" w:cs="Times New Roman"/>
                <w:sz w:val="24"/>
                <w:szCs w:val="24"/>
              </w:rPr>
              <w:t>mul reclamant, a fost singurul martor care a afirmat că primul reclamant i-ar fi recunoscut explicit că a organizat uciderea lui Sh.A. (vezi paragraful 62 mai sus). Deși acea declarație nu ar fi constituit singura sau decizia de bază pentru condamnarea pri</w:t>
            </w:r>
            <w:r>
              <w:rPr>
                <w:rFonts w:ascii="Times New Roman" w:eastAsia="Times New Roman" w:hAnsi="Times New Roman" w:cs="Times New Roman"/>
                <w:sz w:val="24"/>
                <w:szCs w:val="24"/>
              </w:rPr>
              <w:t>mului reclamant, Curtea consideră că aceasta a avut o greutate semnificativă și că admiterea acesteia ar fi putut handicapa apărarea într-o măsură importantă. Având în vedere acest lucru, Curtea va continua cu analiza existenței unor factori de contrabalan</w:t>
            </w:r>
            <w:r>
              <w:rPr>
                <w:rFonts w:ascii="Times New Roman" w:eastAsia="Times New Roman" w:hAnsi="Times New Roman" w:cs="Times New Roman"/>
                <w:sz w:val="24"/>
                <w:szCs w:val="24"/>
              </w:rPr>
              <w:t>sare suficienți (vezi Schatschaschwili, citat mai sus, § 116).</w:t>
            </w:r>
          </w:p>
          <w:p w:rsidR="00255CB9" w:rsidRDefault="00C03C2D">
            <w:pPr>
              <w:widowControl w:val="0"/>
              <w:numPr>
                <w:ilvl w:val="0"/>
                <w:numId w:val="2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primul reclamant nu a primit niciun răspuns la niciunul dintre argumentele sale specifice și pertinente: în ceea ce privește identitatea martorului M.A., autenticitatea declar</w:t>
            </w:r>
            <w:r>
              <w:rPr>
                <w:rFonts w:ascii="Times New Roman" w:eastAsia="Times New Roman" w:hAnsi="Times New Roman" w:cs="Times New Roman"/>
                <w:sz w:val="24"/>
                <w:szCs w:val="24"/>
              </w:rPr>
              <w:t xml:space="preserve">ațiilor sale de martor făcute înainte de proces, existența vreunei măsuri de securitate în ceea ce-l privește, natura și justificarea acestora, precum și autenticitatea telegramei presupus trimise de acest martor către instanță. În aceste condiții, Curtea </w:t>
            </w:r>
            <w:r>
              <w:rPr>
                <w:rFonts w:ascii="Times New Roman" w:eastAsia="Times New Roman" w:hAnsi="Times New Roman" w:cs="Times New Roman"/>
                <w:sz w:val="24"/>
                <w:szCs w:val="24"/>
              </w:rPr>
              <w:t xml:space="preserve">nu poate decât să concluzioneze că nu au </w:t>
            </w:r>
            <w:r>
              <w:rPr>
                <w:rFonts w:ascii="Times New Roman" w:eastAsia="Times New Roman" w:hAnsi="Times New Roman" w:cs="Times New Roman"/>
                <w:sz w:val="24"/>
                <w:szCs w:val="24"/>
              </w:rPr>
              <w:lastRenderedPageBreak/>
              <w:t>existat măsuri suficiente de contrabalansare care să permită o evaluare corectă și adecvată a fiabilității probelor necontestate în cazul primului reclamant.Prin urmare, a existat o încălcare a articolului 6 §§ 1 și</w:t>
            </w:r>
            <w:r>
              <w:rPr>
                <w:rFonts w:ascii="Times New Roman" w:eastAsia="Times New Roman" w:hAnsi="Times New Roman" w:cs="Times New Roman"/>
                <w:sz w:val="24"/>
                <w:szCs w:val="24"/>
              </w:rPr>
              <w:t xml:space="preserve"> 3 (d) din Convenție.</w:t>
            </w:r>
          </w:p>
          <w:p w:rsidR="00255CB9" w:rsidRDefault="00C03C2D">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doilea reclamant, dreptul la apărare </w:t>
            </w:r>
          </w:p>
          <w:p w:rsidR="00255CB9" w:rsidRDefault="00C03C2D">
            <w:pPr>
              <w:widowControl w:val="0"/>
              <w:numPr>
                <w:ilvl w:val="0"/>
                <w:numId w:val="1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notează că al doilea reclamant a formulat mai multe alegații privind restrângerea dreptului său la apărare</w:t>
            </w:r>
            <w:r>
              <w:rPr>
                <w:rFonts w:ascii="Times New Roman" w:eastAsia="Times New Roman" w:hAnsi="Times New Roman" w:cs="Times New Roman"/>
                <w:sz w:val="24"/>
                <w:szCs w:val="24"/>
              </w:rPr>
              <w:t>. Este un principiu bine stabilit al jurisprudenței Curții că respectarea cerințelor unui proces echitabil trebuie examinată în fiecare caz având în vedere evoluția procedurii în ansamblu și nu pe baza unei examinări izolate a unui anumit aspect sau a unui</w:t>
            </w:r>
            <w:r>
              <w:rPr>
                <w:rFonts w:ascii="Times New Roman" w:eastAsia="Times New Roman" w:hAnsi="Times New Roman" w:cs="Times New Roman"/>
                <w:sz w:val="24"/>
                <w:szCs w:val="24"/>
              </w:rPr>
              <w:t xml:space="preserve"> anumit incident.</w:t>
            </w:r>
          </w:p>
          <w:p w:rsidR="00255CB9" w:rsidRDefault="00C03C2D">
            <w:pPr>
              <w:widowControl w:val="0"/>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notează că, la 13 octombrie 2009, anchetatorul a refuzat să o admită pe L.B., avocata angajată de rudele celui de-al doilea reclamant, în calitate de reprezentant legal al acestuia, pe motiv că aceasta urma să fie audiată în calita</w:t>
            </w:r>
            <w:r>
              <w:rPr>
                <w:rFonts w:ascii="Times New Roman" w:eastAsia="Times New Roman" w:hAnsi="Times New Roman" w:cs="Times New Roman"/>
                <w:sz w:val="24"/>
                <w:szCs w:val="24"/>
              </w:rPr>
              <w:t>te de martor în cadrul procedurii penale în cauză (a se vedea punctul 30 de mai sus). O astfel de audiere nu a avut loc niciodată. Nu se menționează în niciun dosar și nici nu reiese din circumstanțele cauzei în ce mod L.B. ar putea fi legată de infracțiun</w:t>
            </w:r>
            <w:r>
              <w:rPr>
                <w:rFonts w:ascii="Times New Roman" w:eastAsia="Times New Roman" w:hAnsi="Times New Roman" w:cs="Times New Roman"/>
                <w:sz w:val="24"/>
                <w:szCs w:val="24"/>
              </w:rPr>
              <w:t>ile care fac obiectul anchetei. Guvernul nu a furnizat Curții copii ale citațiilor sau orice alte probe care să demonstreze că anchetatorul a întreprins, de fapt, vreo măsură pentru a o interoga în calitate de martor. Acestea nu au explicat nici de ce, tre</w:t>
            </w:r>
            <w:r>
              <w:rPr>
                <w:rFonts w:ascii="Times New Roman" w:eastAsia="Times New Roman" w:hAnsi="Times New Roman" w:cs="Times New Roman"/>
                <w:sz w:val="24"/>
                <w:szCs w:val="24"/>
              </w:rPr>
              <w:t xml:space="preserve">i luni mai târziu, la 24 februarie 2010, anchetatorul s-a răzgândit și i-a permis să îl reprezinte pe al doilea reclamant. </w:t>
            </w:r>
          </w:p>
          <w:p w:rsidR="00255CB9" w:rsidRDefault="00C03C2D">
            <w:pPr>
              <w:widowControl w:val="0"/>
              <w:numPr>
                <w:ilvl w:val="0"/>
                <w:numId w:val="1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consideră că fiecare ocazie de comunicare nedocumentată între anchetator și al doilea reclamant fără ca </w:t>
            </w:r>
            <w:r>
              <w:rPr>
                <w:rFonts w:ascii="Times New Roman" w:eastAsia="Times New Roman" w:hAnsi="Times New Roman" w:cs="Times New Roman"/>
                <w:sz w:val="24"/>
                <w:szCs w:val="24"/>
              </w:rPr>
              <w:lastRenderedPageBreak/>
              <w:t>avocatul acestuia din</w:t>
            </w:r>
            <w:r>
              <w:rPr>
                <w:rFonts w:ascii="Times New Roman" w:eastAsia="Times New Roman" w:hAnsi="Times New Roman" w:cs="Times New Roman"/>
                <w:sz w:val="24"/>
                <w:szCs w:val="24"/>
              </w:rPr>
              <w:t xml:space="preserve"> urmă să fie prezent a reprezentat o restricție nejustificată a dreptului celui de-al doilea reclamant la asistență juridică. De asemenea, este relevant să se constate că au existat numeroase astfel de ocazii. În opinia Curții, acestea au avut un anumit im</w:t>
            </w:r>
            <w:r>
              <w:rPr>
                <w:rFonts w:ascii="Times New Roman" w:eastAsia="Times New Roman" w:hAnsi="Times New Roman" w:cs="Times New Roman"/>
                <w:sz w:val="24"/>
                <w:szCs w:val="24"/>
              </w:rPr>
              <w:t>pact asupra corectitudinii generale a procedurii.</w:t>
            </w:r>
          </w:p>
          <w:p w:rsidR="00255CB9" w:rsidRDefault="00C03C2D">
            <w:pPr>
              <w:widowControl w:val="0"/>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—-------------------------------------------------------------------------------Admiterea probei cu martori care ar fi fost obținută prin constrângere</w:t>
            </w:r>
          </w:p>
          <w:p w:rsidR="00255CB9" w:rsidRDefault="00C03C2D">
            <w:pPr>
              <w:widowControl w:val="0"/>
              <w:numPr>
                <w:ilvl w:val="0"/>
                <w:numId w:val="14"/>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de asemenea, că nu a existat nicio investigație cu privire la acuzația R.N. de presiune din partea investigatorului în timpul evaluării versiunilor conflictuale ale evenimentelor prezentate de ea în fața instanței. În ceea ce privește acuza</w:t>
            </w:r>
            <w:r>
              <w:rPr>
                <w:rFonts w:ascii="Times New Roman" w:eastAsia="Times New Roman" w:hAnsi="Times New Roman" w:cs="Times New Roman"/>
                <w:sz w:val="24"/>
                <w:szCs w:val="24"/>
              </w:rPr>
              <w:t>țiile sale ocazionale de presiune exercitată de către al doilea reclamant, acest aspect a fost investigat, iar singurul rezultat cunoscut a fost concluzia că nu există dovezi privind apelurile sale telefonice către R.N. din SIZO (vezi paragraful 56 mai sus</w:t>
            </w:r>
            <w:r>
              <w:rPr>
                <w:rFonts w:ascii="Times New Roman" w:eastAsia="Times New Roman" w:hAnsi="Times New Roman" w:cs="Times New Roman"/>
                <w:sz w:val="24"/>
                <w:szCs w:val="24"/>
              </w:rPr>
              <w:t>).</w:t>
            </w:r>
          </w:p>
          <w:p w:rsidR="00255CB9" w:rsidRDefault="00C03C2D">
            <w:pPr>
              <w:widowControl w:val="0"/>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că instanțele interne au preferat să facă referire la declarațiile lui R.N. care îl incriminau pe al doilea reclamant, deși versiunea finală a evenimentelor, dată de ea, era în favoarea acestuia (vezi paragrafele 60, 61, 69 și 70 mai sus)</w:t>
            </w:r>
            <w:r>
              <w:rPr>
                <w:rFonts w:ascii="Times New Roman" w:eastAsia="Times New Roman" w:hAnsi="Times New Roman" w:cs="Times New Roman"/>
                <w:sz w:val="24"/>
                <w:szCs w:val="24"/>
              </w:rPr>
              <w:t>. Nu a fost oferit niciun raționament care să susțină această preferință. De asemenea, nu s-a stabilit că versiunea evenimentelor preferată de instanțe fusese dată de R.N. de bună voie.</w:t>
            </w:r>
          </w:p>
          <w:p w:rsidR="00255CB9" w:rsidRDefault="00C03C2D">
            <w:pPr>
              <w:widowControl w:val="0"/>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Deși mărturia lui R.N. nu a constituit baza unică sau decisivă pentru </w:t>
            </w:r>
            <w:r>
              <w:rPr>
                <w:rFonts w:ascii="Times New Roman" w:eastAsia="Times New Roman" w:hAnsi="Times New Roman" w:cs="Times New Roman"/>
                <w:sz w:val="24"/>
                <w:szCs w:val="24"/>
              </w:rPr>
              <w:t xml:space="preserve">condamnarea celui de-al doilea reclamant (vezi paragrafele 7, 8, 22, 23, 29 și 59 mai sus), aceasta a avut o greutate semnificativă. Modul în care au fost tratate schimbările continue ale declarațiilor sale risca astfel să </w:t>
            </w:r>
            <w:r>
              <w:rPr>
                <w:rFonts w:ascii="Times New Roman" w:eastAsia="Times New Roman" w:hAnsi="Times New Roman" w:cs="Times New Roman"/>
                <w:sz w:val="24"/>
                <w:szCs w:val="24"/>
              </w:rPr>
              <w:lastRenderedPageBreak/>
              <w:t>submineze corectitudinea generală</w:t>
            </w:r>
            <w:r>
              <w:rPr>
                <w:rFonts w:ascii="Times New Roman" w:eastAsia="Times New Roman" w:hAnsi="Times New Roman" w:cs="Times New Roman"/>
                <w:sz w:val="24"/>
                <w:szCs w:val="24"/>
              </w:rPr>
              <w:t xml:space="preserve"> a procesului acestuia.</w:t>
            </w:r>
          </w:p>
          <w:p w:rsidR="00255CB9" w:rsidRDefault="00C03C2D">
            <w:pPr>
              <w:widowControl w:val="0"/>
              <w:numPr>
                <w:ilvl w:val="0"/>
                <w:numId w:val="14"/>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consecință, a existat o încălcare a drepturilor celui de-al doilea reclamant în temeiul articolului 6 § 1 din Convenție în această privință.</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UA Încălcare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Pentru primul reclamant:</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Cheltuieli de 5 000 euro </w:t>
            </w:r>
          </w:p>
          <w:p w:rsidR="00255CB9" w:rsidRDefault="00255CB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Pentru al doilea recl</w:t>
            </w:r>
            <w:r>
              <w:rPr>
                <w:rFonts w:ascii="Times New Roman" w:eastAsia="Times New Roman" w:hAnsi="Times New Roman" w:cs="Times New Roman"/>
                <w:sz w:val="24"/>
                <w:szCs w:val="24"/>
              </w:rPr>
              <w:t>amant:</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Prejudiciu </w:t>
            </w:r>
            <w:r>
              <w:rPr>
                <w:rFonts w:ascii="Times New Roman" w:eastAsia="Times New Roman" w:hAnsi="Times New Roman" w:cs="Times New Roman"/>
                <w:sz w:val="24"/>
                <w:szCs w:val="24"/>
              </w:rPr>
              <w:lastRenderedPageBreak/>
              <w:t xml:space="preserve">moral de 2 500 euro </w:t>
            </w:r>
          </w:p>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Cheltuieli de 7 000 euro </w:t>
            </w:r>
          </w:p>
        </w:tc>
      </w:tr>
      <w:tr w:rsidR="00255CB9">
        <w:tc>
          <w:tcPr>
            <w:tcW w:w="88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1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Marea Britanie</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Dreptul la un proces echitabil</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16.01.2020</w:t>
            </w:r>
          </w:p>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 </w:t>
            </w: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255CB9" w:rsidRDefault="00255CB9">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930"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15-20 </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Omor, ședință de tip închis, probe</w:t>
            </w:r>
          </w:p>
        </w:tc>
        <w:tc>
          <w:tcPr>
            <w:tcW w:w="6840" w:type="dxa"/>
            <w:shd w:val="clear" w:color="auto" w:fill="auto"/>
            <w:tcMar>
              <w:top w:w="100" w:type="dxa"/>
              <w:left w:w="100" w:type="dxa"/>
              <w:bottom w:w="100" w:type="dxa"/>
              <w:right w:w="100" w:type="dxa"/>
            </w:tcMar>
          </w:tcPr>
          <w:p w:rsidR="00255CB9" w:rsidRDefault="00C03C2D">
            <w:pPr>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Curtea observă că, în cazul de față, hotărârile arată clar că decizia de a ține o parte din procesul reclamantului în ședință de tip închis a fost luată, printre altele, din motive de securitate națională. Cu toate acestea, din cauza acestor preocupări de </w:t>
            </w:r>
            <w:r>
              <w:rPr>
                <w:rFonts w:ascii="Times New Roman" w:eastAsia="Times New Roman" w:hAnsi="Times New Roman" w:cs="Times New Roman"/>
                <w:sz w:val="24"/>
                <w:szCs w:val="24"/>
              </w:rPr>
              <w:t xml:space="preserve">securitate națională, Curții nu i s-a furnizat justificarea detaliată a deciziei. Procedura națională de luare a deciziei capătă, prin urmare, o importanță deosebită. </w:t>
            </w:r>
          </w:p>
          <w:p w:rsidR="00255CB9" w:rsidRDefault="00C03C2D">
            <w:pPr>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acordarea cererii acuzării, judecătorul de fond a cântărit cu atenție necesitatea tr</w:t>
            </w:r>
            <w:r>
              <w:rPr>
                <w:rFonts w:ascii="Times New Roman" w:eastAsia="Times New Roman" w:hAnsi="Times New Roman" w:cs="Times New Roman"/>
                <w:sz w:val="24"/>
                <w:szCs w:val="24"/>
              </w:rPr>
              <w:t>ansparenței față de interesele de securitate națională implicate. El a subliniat că interesele justiției nu pot justifica niciodată o decizie de a ține procesul în camera, dacă astfel procesul nu va fi corect. A dat ordinul doar după ce s-a asigurat că rec</w:t>
            </w:r>
            <w:r>
              <w:rPr>
                <w:rFonts w:ascii="Times New Roman" w:eastAsia="Times New Roman" w:hAnsi="Times New Roman" w:cs="Times New Roman"/>
                <w:sz w:val="24"/>
                <w:szCs w:val="24"/>
              </w:rPr>
              <w:t>lamantul putea avea totuși un proces corect. Reclamantul a avut acces la hotărârea închisă a judecătorului de fond, care detaliază în totalitate motivele pentru care s-a decis ca o parte din ședință să se desfășoare în privat.</w:t>
            </w:r>
          </w:p>
          <w:p w:rsidR="00255CB9" w:rsidRDefault="00C03C2D">
            <w:pPr>
              <w:widowControl w:val="0"/>
              <w:numPr>
                <w:ilvl w:val="0"/>
                <w:numId w:val="10"/>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ceea ce privește sugestia că alți martori ar fi putut veni cu dovezi care ar fi ajutat în mod substanțial apărarea, Curtea este de acord cu instanțele interne că acest lucru nu este decât speculație . Marea majoritate a procesului a avut loc în public ș</w:t>
            </w:r>
            <w:r>
              <w:rPr>
                <w:rFonts w:ascii="Times New Roman" w:eastAsia="Times New Roman" w:hAnsi="Times New Roman" w:cs="Times New Roman"/>
                <w:sz w:val="24"/>
                <w:szCs w:val="24"/>
              </w:rPr>
              <w:t xml:space="preserve">i a primit o mare publicitate la acea vreme, nu în ultimul rând din cauza deciziei neobișnuite de a ține o parte din proces în privat. Direcția generală a apărării reclamantului a fost, de asemenea, publică, iar informațiile ce erau disponibile publicului </w:t>
            </w:r>
            <w:r>
              <w:rPr>
                <w:rFonts w:ascii="Times New Roman" w:eastAsia="Times New Roman" w:hAnsi="Times New Roman" w:cs="Times New Roman"/>
                <w:sz w:val="24"/>
                <w:szCs w:val="24"/>
              </w:rPr>
              <w:t xml:space="preserve">erau mai mult decât suficiente pentru a permite celor care știau că reclamantul a primit obiecte furate de la </w:t>
            </w:r>
            <w:r>
              <w:rPr>
                <w:rFonts w:ascii="Times New Roman" w:eastAsia="Times New Roman" w:hAnsi="Times New Roman" w:cs="Times New Roman"/>
                <w:sz w:val="24"/>
                <w:szCs w:val="24"/>
              </w:rPr>
              <w:lastRenderedPageBreak/>
              <w:t>gangsteri numiți sau chiar de la gangsterii înșiși să vină în fața instanței.</w:t>
            </w:r>
          </w:p>
          <w:p w:rsidR="00255CB9" w:rsidRDefault="00C03C2D">
            <w:pPr>
              <w:widowControl w:val="0"/>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Curtea observă argumentul reclamantului din observațiile sale din 23</w:t>
            </w:r>
            <w:r>
              <w:rPr>
                <w:rFonts w:ascii="Times New Roman" w:eastAsia="Times New Roman" w:hAnsi="Times New Roman" w:cs="Times New Roman"/>
                <w:sz w:val="24"/>
                <w:szCs w:val="24"/>
              </w:rPr>
              <w:t xml:space="preserve"> noiembrie 2018, potrivit căruia a fost împiedicat, din cauza ordinului de a nu divulga materialul din camera, să expună materialul care ar fi informativ pentru evaluarea corectă a Curții asupra acestor chestiuni . Totuși, este remarcabil că, în aceste obs</w:t>
            </w:r>
            <w:r>
              <w:rPr>
                <w:rFonts w:ascii="Times New Roman" w:eastAsia="Times New Roman" w:hAnsi="Times New Roman" w:cs="Times New Roman"/>
                <w:sz w:val="24"/>
                <w:szCs w:val="24"/>
              </w:rPr>
              <w:t xml:space="preserve">ervații, reclamantul nu a adus niciun argument substanțial referitor la plângerile sale privind corectitudinea procesului său penal. Acest lucru se întâmplă în ciuda faptului că judecătorul de fond considera că observațiile preliminare care ar fi transmis </w:t>
            </w:r>
            <w:r>
              <w:rPr>
                <w:rFonts w:ascii="Times New Roman" w:eastAsia="Times New Roman" w:hAnsi="Times New Roman" w:cs="Times New Roman"/>
                <w:sz w:val="24"/>
                <w:szCs w:val="24"/>
              </w:rPr>
              <w:t>„ceva din esența observațiilor prevăzute” și ar fi pus Curtea într-o poziție mai bună pentru a evalua relevanța materialului din camera ar fi putut fi depuse compatibil cu ordinul său</w:t>
            </w:r>
            <w:r>
              <w:rPr>
                <w:rFonts w:ascii="Times New Roman" w:eastAsia="Times New Roman" w:hAnsi="Times New Roman" w:cs="Times New Roman"/>
                <w:b/>
                <w:sz w:val="24"/>
                <w:szCs w:val="24"/>
              </w:rPr>
              <w:t xml:space="preserve"> </w:t>
            </w:r>
          </w:p>
          <w:p w:rsidR="00255CB9" w:rsidRDefault="00C03C2D">
            <w:pPr>
              <w:widowControl w:val="0"/>
              <w:numPr>
                <w:ilvl w:val="0"/>
                <w:numId w:val="1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concluzie, Curtea este de acord că cererea de a ține o parte din pro</w:t>
            </w:r>
            <w:r>
              <w:rPr>
                <w:rFonts w:ascii="Times New Roman" w:eastAsia="Times New Roman" w:hAnsi="Times New Roman" w:cs="Times New Roman"/>
                <w:sz w:val="24"/>
                <w:szCs w:val="24"/>
              </w:rPr>
              <w:t>cesul reclamantului în camera a fost supusă unui control temeinic și independent la nivel național. Reclamantul a participat complet pe parcursul procedurilor de revizuire și justificarea pentru a ține o parte din proces în camera a fost examinată în detal</w:t>
            </w:r>
            <w:r>
              <w:rPr>
                <w:rFonts w:ascii="Times New Roman" w:eastAsia="Times New Roman" w:hAnsi="Times New Roman" w:cs="Times New Roman"/>
                <w:sz w:val="24"/>
                <w:szCs w:val="24"/>
              </w:rPr>
              <w:t>iu de mai multe ori. Ordinul în sine a fost limitat ca amploare și niciuna dintre dovezile acuzării sau cele care au susținut cererea de audiere în camera nu au fost reținute de la reclamant. Reclamantul a avut posibilitatea de a interoga toți martorii acu</w:t>
            </w:r>
            <w:r>
              <w:rPr>
                <w:rFonts w:ascii="Times New Roman" w:eastAsia="Times New Roman" w:hAnsi="Times New Roman" w:cs="Times New Roman"/>
                <w:sz w:val="24"/>
                <w:szCs w:val="24"/>
              </w:rPr>
              <w:t>zării. Nu există nicio dovadă că ordinul a cauzat vreo nedreptate reclamantului pe parcursul procedurilor judiciare. Prin urmare, nu există nicio încălcare a articolului 6 §§ 1 sau 3 (d) din Convenție în acest sens.</w:t>
            </w:r>
          </w:p>
        </w:tc>
        <w:tc>
          <w:tcPr>
            <w:tcW w:w="1725" w:type="dxa"/>
            <w:shd w:val="clear" w:color="auto" w:fill="auto"/>
            <w:tcMar>
              <w:top w:w="100" w:type="dxa"/>
              <w:left w:w="100" w:type="dxa"/>
              <w:bottom w:w="100" w:type="dxa"/>
              <w:right w:w="100" w:type="dxa"/>
            </w:tcMar>
          </w:tcPr>
          <w:p w:rsidR="00255CB9" w:rsidRDefault="00C03C2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 există încălcare</w:t>
            </w:r>
          </w:p>
        </w:tc>
      </w:tr>
    </w:tbl>
    <w:p w:rsidR="00255CB9" w:rsidRDefault="00255CB9">
      <w:pPr>
        <w:rPr>
          <w:rFonts w:ascii="Times New Roman" w:eastAsia="Times New Roman" w:hAnsi="Times New Roman" w:cs="Times New Roman"/>
          <w:sz w:val="24"/>
          <w:szCs w:val="24"/>
        </w:rPr>
      </w:pPr>
    </w:p>
    <w:sectPr w:rsidR="00255CB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C34"/>
    <w:multiLevelType w:val="multilevel"/>
    <w:tmpl w:val="33824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2561B"/>
    <w:multiLevelType w:val="multilevel"/>
    <w:tmpl w:val="0A3A9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C3418E"/>
    <w:multiLevelType w:val="multilevel"/>
    <w:tmpl w:val="38CAF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640A0F"/>
    <w:multiLevelType w:val="multilevel"/>
    <w:tmpl w:val="22D6F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33165"/>
    <w:multiLevelType w:val="multilevel"/>
    <w:tmpl w:val="36B8C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4C7813"/>
    <w:multiLevelType w:val="multilevel"/>
    <w:tmpl w:val="AA54C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75E1C"/>
    <w:multiLevelType w:val="multilevel"/>
    <w:tmpl w:val="474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343E64"/>
    <w:multiLevelType w:val="multilevel"/>
    <w:tmpl w:val="72F6D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0A43FB"/>
    <w:multiLevelType w:val="multilevel"/>
    <w:tmpl w:val="93DC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64558E"/>
    <w:multiLevelType w:val="multilevel"/>
    <w:tmpl w:val="D362E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6E2B3F"/>
    <w:multiLevelType w:val="multilevel"/>
    <w:tmpl w:val="A6A20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660500"/>
    <w:multiLevelType w:val="multilevel"/>
    <w:tmpl w:val="1FAED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1D1025"/>
    <w:multiLevelType w:val="multilevel"/>
    <w:tmpl w:val="3DF43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5F76E0"/>
    <w:multiLevelType w:val="multilevel"/>
    <w:tmpl w:val="97E4A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6434AD"/>
    <w:multiLevelType w:val="multilevel"/>
    <w:tmpl w:val="35101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372A3A"/>
    <w:multiLevelType w:val="multilevel"/>
    <w:tmpl w:val="4C582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DD0AC5"/>
    <w:multiLevelType w:val="multilevel"/>
    <w:tmpl w:val="A3768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6F3500"/>
    <w:multiLevelType w:val="multilevel"/>
    <w:tmpl w:val="182E0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DB6E9F"/>
    <w:multiLevelType w:val="multilevel"/>
    <w:tmpl w:val="4CF4A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230F44"/>
    <w:multiLevelType w:val="multilevel"/>
    <w:tmpl w:val="BF46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E6379A"/>
    <w:multiLevelType w:val="multilevel"/>
    <w:tmpl w:val="8CECD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E96665"/>
    <w:multiLevelType w:val="multilevel"/>
    <w:tmpl w:val="1CD47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3D37F7"/>
    <w:multiLevelType w:val="multilevel"/>
    <w:tmpl w:val="78302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0"/>
  </w:num>
  <w:num w:numId="3">
    <w:abstractNumId w:val="6"/>
  </w:num>
  <w:num w:numId="4">
    <w:abstractNumId w:val="19"/>
  </w:num>
  <w:num w:numId="5">
    <w:abstractNumId w:val="13"/>
  </w:num>
  <w:num w:numId="6">
    <w:abstractNumId w:val="0"/>
  </w:num>
  <w:num w:numId="7">
    <w:abstractNumId w:val="21"/>
  </w:num>
  <w:num w:numId="8">
    <w:abstractNumId w:val="17"/>
  </w:num>
  <w:num w:numId="9">
    <w:abstractNumId w:val="16"/>
  </w:num>
  <w:num w:numId="10">
    <w:abstractNumId w:val="8"/>
  </w:num>
  <w:num w:numId="11">
    <w:abstractNumId w:val="9"/>
  </w:num>
  <w:num w:numId="12">
    <w:abstractNumId w:val="20"/>
  </w:num>
  <w:num w:numId="13">
    <w:abstractNumId w:val="1"/>
  </w:num>
  <w:num w:numId="14">
    <w:abstractNumId w:val="2"/>
  </w:num>
  <w:num w:numId="15">
    <w:abstractNumId w:val="5"/>
  </w:num>
  <w:num w:numId="16">
    <w:abstractNumId w:val="3"/>
  </w:num>
  <w:num w:numId="17">
    <w:abstractNumId w:val="22"/>
  </w:num>
  <w:num w:numId="18">
    <w:abstractNumId w:val="15"/>
  </w:num>
  <w:num w:numId="19">
    <w:abstractNumId w:val="4"/>
  </w:num>
  <w:num w:numId="20">
    <w:abstractNumId w:val="12"/>
  </w:num>
  <w:num w:numId="21">
    <w:abstractNumId w:val="11"/>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B9"/>
    <w:rsid w:val="00255CB9"/>
    <w:rsid w:val="00C03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95142-665A-43DF-9281-C0EB8A1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10777</Words>
  <Characters>61433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2024-12-07T00:02:00Z</dcterms:created>
  <dcterms:modified xsi:type="dcterms:W3CDTF">2024-12-07T00:02:00Z</dcterms:modified>
</cp:coreProperties>
</file>