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13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9"/>
        <w:gridCol w:w="1314"/>
        <w:gridCol w:w="1825"/>
        <w:gridCol w:w="1947"/>
        <w:gridCol w:w="2070"/>
        <w:gridCol w:w="3330"/>
      </w:tblGrid>
      <w:tr w:rsidR="00E51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</w:pPr>
            <w:bookmarkStart w:id="0" w:name="_GoBack"/>
            <w:bookmarkEnd w:id="0"/>
            <w:r>
              <w:rPr>
                <w:b/>
                <w:bCs/>
                <w:lang w:val="en-US"/>
              </w:rPr>
              <w:t>Art.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t>Domeniul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t>Data/Cauza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t>Cuvinte-cheie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Extras din hotarare 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Aprecierea / Satisfactie </w:t>
            </w:r>
          </w:p>
        </w:tc>
      </w:tr>
      <w:tr w:rsidR="00E518D4" w:rsidRPr="00F77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0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lastRenderedPageBreak/>
              <w:t>9.</w:t>
            </w:r>
          </w:p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lang w:val="fr-FR"/>
              </w:rPr>
              <w:t>Drepturile Omului</w:t>
            </w: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lang w:val="fr-FR"/>
              </w:rPr>
              <w:t>Drept internațional, Justiție</w:t>
            </w: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Libertate religioas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 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 de expresie</w:t>
            </w: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Dreptul la educa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ie</w:t>
            </w: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Dreptul la proprietate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lang w:val="fr-FR"/>
              </w:rPr>
              <w:t>25 iunie 2024; Ucraina vs. Rusia (Crimeea) - Aplicații 20958/14 și 38334/18</w:t>
            </w: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Implementarea legilor rusești în Crimeea (din 2014)</w:t>
            </w: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Perioada ocupa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 Crimeei (din 2014)</w:t>
            </w: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E518D4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Restric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ionarea limbii ucrainene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coli</w:t>
            </w: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eastAsia="Calibri" w:cs="Calibri"/>
                <w:sz w:val="24"/>
                <w:szCs w:val="24"/>
                <w:lang w:val="en-US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ionalizarea f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compensa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 Crimeea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Drepturile fundamentale, tortură, detenție ilegală, libertatea presei, discriminare, libertate religioasă.</w:t>
            </w: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Aplicarea legilor rusești, discriminare, retroactivitate, încălcări ale CEDO.</w:t>
            </w: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Persecutarea credin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elor minoritare,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suprimarea presei, confiscarea propriet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 religioase.</w:t>
            </w:r>
          </w:p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eastAsia="Calibri" w:cs="Calibri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eastAsia="Calibri" w:cs="Calibri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Exproprieri, pierderi patrimoniale, confisc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ri de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 xml:space="preserve">bunuri private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 civile.</w:t>
            </w: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lang w:val="fr-FR"/>
              </w:rPr>
              <w:lastRenderedPageBreak/>
              <w:t>„Practici administrative de încălcare sistematică a drepturilor omului în Crimeea, inclusiv dispariții forțate</w:t>
            </w:r>
            <w:r w:rsidRPr="00F771C2">
              <w:rPr>
                <w:lang w:val="fr-FR"/>
              </w:rPr>
              <w:t>, tortură și tratamente degradante.</w:t>
            </w: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lang w:val="fr-FR"/>
              </w:rPr>
              <w:t>„Aplicarea generală a legislației ruse în Crimeea este o încălcare gravă a principiilor drepturilor omului și ale dreptului internațional.”</w:t>
            </w: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„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H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uirea liderilor religio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 non-ortodoc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i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i intimidarea presei non-ruse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nu sunt justificate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ntr-o societate democratic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”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ab/>
            </w:r>
          </w:p>
          <w:p w:rsidR="00E518D4" w:rsidRPr="00F771C2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„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Limitarea utiliz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rii limbii ucrainene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coli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ncalc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substan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a dreptului la educa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ie garantat de Conven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ie.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”</w:t>
            </w:r>
          </w:p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„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Na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ionalizarea pe scar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larg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, f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compensa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ie, constituie o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nc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lcare a Protocolului nr.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1 al Conven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iei.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”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ab/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lang w:val="fr-FR"/>
              </w:rPr>
              <w:t>Curtea a decis că Rusia este responsabilă pentru încălcările Convenției și cere măsuri corective, precum returnarea prizonierilor și încetarea discriminărilor.</w:t>
            </w: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lang w:val="fr-FR"/>
              </w:rPr>
              <w:t xml:space="preserve">Curtea subliniază lipsa legitimității în aplicarea legislației ruse și </w:t>
            </w:r>
            <w:r w:rsidRPr="00F771C2">
              <w:rPr>
                <w:lang w:val="fr-FR"/>
              </w:rPr>
              <w:t>solicită restabilirea cadrului legal ucrainean în regiune</w:t>
            </w: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lang w:val="fr-FR"/>
              </w:rPr>
              <w:t xml:space="preserve">Recomandă încetarea hărțuirilor și respectarea diversității religioase și a libertății presei. </w:t>
            </w: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Solicit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eliminarea discrimin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rii lingvistice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i restabilirea limbii ucrainene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n ed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uca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ie.</w:t>
            </w: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lang w:val="fr-FR"/>
              </w:rPr>
              <w:lastRenderedPageBreak/>
              <w:t xml:space="preserve">Curtea cere despăgubiri adecvate pentru proprietarii afectați și oprirea exproprierilor arbitrare. </w:t>
            </w:r>
          </w:p>
        </w:tc>
      </w:tr>
      <w:tr w:rsidR="00E51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0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lastRenderedPageBreak/>
              <w:t>2.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E518D4">
            <w:pPr>
              <w:pStyle w:val="a5"/>
              <w:spacing w:after="0" w:line="240" w:lineRule="auto"/>
              <w:rPr>
                <w:lang w:val="en-US"/>
              </w:rPr>
            </w:pPr>
          </w:p>
          <w:p w:rsidR="00E518D4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Drepturile Omului</w:t>
            </w: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Drept interna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ional, Libert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 fundamentale</w:t>
            </w: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Discriminare religioas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 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 de gen</w:t>
            </w: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D45582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Drepturi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procedurale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771C2">
              <w:rPr>
                <w:lang w:val="fr-FR"/>
              </w:rPr>
              <w:tab/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12 martie 2024; Murat Kanatl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ı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vs. 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ü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rkiye (Cauza 18382/15)</w:t>
            </w: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71C2">
              <w:rPr>
                <w:rFonts w:ascii="Times New Roman" w:eastAsia="Times New Roman" w:hAnsi="Times New Roman" w:cs="Times New Roman"/>
                <w:lang w:val="fr-FR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Aplicarea legilor din RTCN (2005-2024)</w:t>
            </w: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Serviciul militar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 reservist</w:t>
            </w: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Proceduri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 instan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ele din RTCN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Art. 9 CEDO, libertatea de con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pacifism,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antimilitarism, serviciu de rezerv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drepturi religioase.</w:t>
            </w: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E518D4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Lipsa unui serviciu civil de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nlocuire,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lcarea drepturilor individuale, echilibru societal.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Incompatibilitate cu convingerile personale, lipsa de alternativ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la serviciul militar.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ab/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ab/>
            </w: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Condamn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ri arbitrare, lipsa reglement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rilor pentru obiec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ia de con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tiin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î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nc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lc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ri procesuale.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ab/>
            </w:r>
          </w:p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ab/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lang w:val="fr-FR"/>
              </w:rPr>
              <w:lastRenderedPageBreak/>
              <w:t>„Absenta unui drept la obiecția de conștiință și condamnarea pentru refuzul de a efectua serviciul de rezervă reprezintă o încălcare a art. 9 din</w:t>
            </w:r>
            <w:r w:rsidRPr="00F771C2">
              <w:rPr>
                <w:lang w:val="fr-FR"/>
              </w:rPr>
              <w:t xml:space="preserve"> Convenție.</w:t>
            </w: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„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Lipsa unui mecanism legal pentru recunoa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terea obiec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iei de con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tiin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sau pentru oferirea unui serviciu alternativ este incompatibil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cu principiile democratice.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”</w:t>
            </w: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771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ab/>
            </w: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„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Serviciul militar obligatoriu impus f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posibilitatea de excep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ie baza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pe con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tiin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sau religie nu respect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drepturile fundamentale ale omului.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”</w:t>
            </w:r>
          </w:p>
          <w:p w:rsidR="00E518D4" w:rsidRPr="00F771C2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771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ab/>
            </w:r>
          </w:p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„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Procedurile judiciare nu au recunoscut statutul de obiector de con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tiin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al reclamantului din cauza lipsei cadrului legal.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”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ab/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lang w:val="fr-FR"/>
              </w:rPr>
              <w:t xml:space="preserve">Curtea a constatat o încălcare a art. 9, </w:t>
            </w:r>
            <w:r w:rsidRPr="00F771C2">
              <w:rPr>
                <w:lang w:val="fr-FR"/>
              </w:rPr>
              <w:t xml:space="preserve">subliniind că pacifismul este protejat de libertatea de conștiință. A fost acordată o despăgubire morală de 9.000 EUR. </w:t>
            </w:r>
          </w:p>
          <w:p w:rsidR="00E518D4" w:rsidRPr="00F771C2" w:rsidRDefault="00E518D4">
            <w:pPr>
              <w:pStyle w:val="a5"/>
              <w:spacing w:after="0" w:line="240" w:lineRule="auto"/>
              <w:rPr>
                <w:lang w:val="fr-FR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Curtea a criticat absen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a unui cadru legal adecvat, solicit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â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nd adoptarea unor reglement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ri care s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respecte libertatea de con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tiin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Pr="00F771C2" w:rsidRDefault="00D4558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F771C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ab/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A fost subliniat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necesitatea unei proceduri accesibile pentru obiec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ia de con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tiin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 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 protec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ia diversit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ii de opinii.</w:t>
            </w:r>
          </w:p>
          <w:p w:rsidR="00E518D4" w:rsidRPr="00F771C2" w:rsidRDefault="00E518D4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 xml:space="preserve">Decizia evidențiază lipsurile legislative și nevoia de claritate juridică pentru protejarea drepturilor fundamentale. </w:t>
            </w:r>
          </w:p>
        </w:tc>
      </w:tr>
      <w:tr w:rsidR="00E518D4" w:rsidRPr="00F77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0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lastRenderedPageBreak/>
              <w:t>3.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Drepturile omului, Discriminare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 noiembrie 2023 (final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29 februarie 2024)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Art. 14, Art. 8, Art. 9, Art. 1 Protocol 1, discriminare religioas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inac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iune a poli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iei, discurs de ur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educa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Reclaman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ii, un ONG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apte persoane apar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â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nd minorit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musulmane din Georgia, au fost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mpiedica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 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deschid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coal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musulman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 internat. Autorit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ile georgiene au fost acuzate de ineficien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 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 lips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 reac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 fa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 violen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 discrimin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rii comise de localnici: blocarea cl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dirii, discurs de ur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 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violen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simbolic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(cum ar fi folosirea capului unui porc pentru a descuraja comunitatea musulman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). Curtea European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 Drepturilor Omului (ECHR) a concluzionat 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inac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iunea poli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 a contribuit la o atmosfer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 impunitate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 la insecuritatea reclaman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ilor.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De asemenea, statul a fost criticat pentru e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ecul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n investigarea corespunz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toare a cazului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 pentru lipsa m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surilor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prompte de remediere.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Decizia ECHR a fost favorabil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reclaman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ilor, constat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â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nd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nc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lcarea drepturilor acestora conform Art. 14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(interzicerea discrimin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rii), Art. 8 (dreptul la respectarea vie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ii private)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 Art. 9 (libertatea de religie). Cu toate acestea, satisfac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ia reclaman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ilor r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m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â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ne limitat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deoarece m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surile de aplicare efectiv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a hot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â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rii sunt incerte, iar investiga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iile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interne au fost lente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 incomplete. Curtea a subliniat 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inac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iunea autorit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ilor a subminat pluralismul religios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 a accentuat sentimentul de insecuritate al minorit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ii musulmane. Reclaman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ii consider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recunoa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terea viol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rilor reprezint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un pas imp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ortant, dar insuficient pentru o solu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ie complet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</w:tr>
      <w:tr w:rsidR="00E518D4" w:rsidRPr="00F77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0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lastRenderedPageBreak/>
              <w:t>4.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Drepturile omului, libertatea religioas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, tratament degradant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februarie 2024 (final 1 mai 2024)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Art. 3, Art. 5, Art. 9 CEDO, libertatea religioas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deten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 preventiv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tratament degradant, presiune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politic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Reclamantul, un cleric musulman, a fost condamnat pentru predicarea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 conducerea rug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ciunilor de vineri, pe baza interdic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iei generale privind desf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ăș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urarea ritualurilor religioase islamice de 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tre cet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ăț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eni care au studiat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î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 str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tate.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Curtea a constatat 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aceast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nu 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spunde unei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nevoi sociale stringente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” 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nu este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necesar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 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ntr-o societate democratic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n plus, Curtea a considerat 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plasarea reclamantului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ntr-o cu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metalic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 î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n timpul audierii apelului a constituit trat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ament degradant.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Decizia ECHR constat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multiple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nc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lc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ri ale drepturilor reclamantului, inclusiv tratament degradant (Art. 3), lipsa justific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rii deten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iei preventive (Art. 5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§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3)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i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nc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lcarea libert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ăț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ii religioase (Art. 9). Cu toate acestea, m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surile co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mpensatorii acordate reclamantului, cum ar fi suma de 6.000 EUR pentru daune morale, sunt considerate insuficiente pentru a remedia impactul negativ al persecu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iei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i al tratamentului discriminatoriu.</w:t>
            </w:r>
          </w:p>
        </w:tc>
      </w:tr>
      <w:tr w:rsidR="00E518D4" w:rsidRPr="00F77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0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lastRenderedPageBreak/>
              <w:t>5.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Drepturile omului, libertatea religioas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discriminare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 decembrie 2022 (definitiv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 13 martie 2023)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Art. 9, Art. 14 CEDO, libertatea religioas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discriminare, neutralitate statal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proselytism, discurs ostil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Reclaman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 (asocia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ii religioase evanghelice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 liderii lor din Burgas, Bulgaria) au su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inut 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autorit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ăț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ile municipale au distribuit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î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coli informa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 care le descriau cultul ca fiind o "sect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periculoas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".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ECHR a constatat 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autorit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ile au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lcat neutralitatea statal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prin utilizarea unor termeni ostili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 discreditarea f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justifi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care adecvat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 credin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elor reclaman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ilor. Scrisoarea emis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 prim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ria Burgas a generat efecte negative asupra imaginii reclaman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ilor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 a contribuit la stigmatizarea comunit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 evanghelice.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Curtea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recunoscut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>î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nc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lcarea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drepturilor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la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libertatea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religioas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>ă ș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egalitate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subliniind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ă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autorit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>ăț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ile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nu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au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justificat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>î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mod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adecvat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termenii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ostili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folosi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reclaman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au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primit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compensa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morale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(2.500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EUR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persoane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fizice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3.000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EUR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organiza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iile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religioase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surile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corective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au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fost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limitate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Nu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fost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emis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nicio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declara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retragere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termenilor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ofensatori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iar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satisfac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reclaman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ilor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este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par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ial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av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>â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nd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>î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vedere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efectele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negative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persistente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asupra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reputa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iei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lor</w:t>
            </w:r>
            <w:r w:rsidRPr="00F771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518D4" w:rsidRPr="00F77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0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lastRenderedPageBreak/>
              <w:t>6.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Drepturile omului, libertatea religioas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discriminare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 februarie 2024 (definitiv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 mai 2024)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Art. 9, Art. 14 CEDO, libertatea religioas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administrativ, legisla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 neclar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NKR, restric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ionare religioas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Reclamanta, membr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a Martorilor lui Iehova, a fost sanc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ionat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administrativ pentru discutarea Bibliei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ntr-un domiciliu privat din Stepanakert,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n "Republica Nagorno-Karabakh" (NKR).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Autorit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ile NKR au justificat sanc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iunea prin faptul 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religia reclamantei nu era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nregistrat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legal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n NKR. Decizia a fost sus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inut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de instan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ele locale pe baza unor prevederi care restric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ionau activit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ile religioase ale cultelor ne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nregistrate. Curtea European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a Drepturilor Omului (CEDO) a constatat 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m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sura a fost luat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f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o baz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legal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clar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 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 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limitarea drepturilor religi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oase doar pentru cultele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nregistrate contravine Art. 9 CEDO.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CEDO a recunoscut c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sanc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iunea impus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reclamantei a constituit o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nc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lcare a libert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ăț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ii religioase (Art. 9), subliniind c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legisla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ia NKR nu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ndepline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te criteriile de claritate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i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previzibilitate. De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i reclamanta a primit desp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gubiri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n valoare de 3.000 EUR pentru prejudicii morale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i 1.000 EUR pentru costuri legale, satisfac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ia este par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ial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, deoarece hot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r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â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rea nu ofer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remedii care s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elimine discriminarea sistemic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fa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de cultel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e religioase ne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nregistrate.</w:t>
            </w:r>
          </w:p>
        </w:tc>
      </w:tr>
      <w:tr w:rsidR="00E518D4" w:rsidRPr="00F77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1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lastRenderedPageBreak/>
              <w:t>7.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>Drepturile omului, libertatea religioasă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>14 iunie 2022 (definitivă 14 septembrie 2022)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Art. 9 CEDO, libertatea religioasă, detenție, echilibru drepturi-securitate, obligații pozitive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 w:rsidRPr="00F771C2">
              <w:rPr>
                <w:b/>
                <w:bCs/>
                <w:lang w:val="fr-FR"/>
              </w:rPr>
              <w:t>Reclamantul, un deținut musulman în î</w:t>
            </w:r>
            <w:r w:rsidRPr="00F771C2">
              <w:rPr>
                <w:b/>
                <w:bCs/>
                <w:lang w:val="fr-FR"/>
              </w:rPr>
              <w:t>nchisoarea de maximă securitate Diyarbakır, a solicitat un spațiu pentru rugăciunile colective de vineri.</w:t>
            </w:r>
            <w:r w:rsidRPr="00F771C2">
              <w:rPr>
                <w:lang w:val="fr-FR"/>
              </w:rPr>
              <w:t xml:space="preserve"> Autoritățile penitenciare au respins cererea invocând riscuri de securitate și lipsa unui spațiu adecvat. Curtea a constatat că autoritățile nu au efe</w:t>
            </w:r>
            <w:r w:rsidRPr="00F771C2">
              <w:rPr>
                <w:lang w:val="fr-FR"/>
              </w:rPr>
              <w:t xml:space="preserve">ctuat o evaluare individualizată și nu au explorat opțiuni mai puțin restrictive, încălcând astfel Art. 9 CEDO. </w:t>
            </w:r>
            <w:r>
              <w:rPr>
                <w:lang w:val="en-US"/>
              </w:rPr>
              <w:t>Acest fapt a generat o ingerință disproporționată în libertatea religioasă a reclamantului.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b/>
                <w:bCs/>
                <w:lang w:val="fr-FR"/>
              </w:rPr>
              <w:t>Curtea a recunoscut încălcarea drepturilor reclamant</w:t>
            </w:r>
            <w:r w:rsidRPr="00F771C2">
              <w:rPr>
                <w:b/>
                <w:bCs/>
                <w:lang w:val="fr-FR"/>
              </w:rPr>
              <w:t>ului și a acordat 5.000 EUR daune morale. Totuși, satisfacția este parțială, deoarece hotărârea nu oferă soluții pentru îmbunătățirea condițiilor generale ale deținuților în ceea ce privește practicile religioase.</w:t>
            </w:r>
          </w:p>
        </w:tc>
      </w:tr>
      <w:tr w:rsidR="00E518D4" w:rsidRPr="00F77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/>
        </w:trPr>
        <w:tc>
          <w:tcPr>
            <w:tcW w:w="84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E518D4">
            <w:pPr>
              <w:rPr>
                <w:lang w:val="fr-FR"/>
              </w:rPr>
            </w:pPr>
          </w:p>
        </w:tc>
        <w:tc>
          <w:tcPr>
            <w:tcW w:w="10486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E518D4">
            <w:pPr>
              <w:rPr>
                <w:lang w:val="fr-FR"/>
              </w:rPr>
            </w:pPr>
          </w:p>
        </w:tc>
      </w:tr>
      <w:tr w:rsidR="00E51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0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lastRenderedPageBreak/>
              <w:t>8.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Drepturile omului, libertatea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religioas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, obiec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ie de con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tiin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 iunie 2022 (definitiv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 7 septembrie 2022)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Art. 9 CEDO, obiec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 de con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serviciu militar obligatoriu, discriminare religioas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Reclamantul, un Martor al lui Iehova, a contestat obliga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ia de a efectua serviciul militar obligatoriu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n Lituania, argument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â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nd c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aceast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cerin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contravine con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tiin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ei sale religioase.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ECHR a constatat 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refuzul autorit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ilor lituaniene de a oferi o alternativ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real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de serviciu civil a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nc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lcat Art. 9 CEDO.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De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 legea local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permitea scutiri pentru liderii religio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 ai cultelor tradi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ionale, Martorii lui Iehova nu erau recunoscu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 ca religie tradi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ional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, ceea ce a dus la discriminare.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CEDO a recunoscut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nc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lcarea dreptului la libertatea de g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â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ndire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i religie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, dar satisfac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ia reclamantului este limitat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, deoarece hot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r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â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rea nu schimb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imediat cadrul legal discriminatoriu din Lituania.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Reclamantul a primit compensa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 modeste, dar impactul asupra comunit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ăț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 religioase 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â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ne semnificativ.</w:t>
            </w:r>
          </w:p>
        </w:tc>
      </w:tr>
      <w:tr w:rsidR="00E518D4" w:rsidRPr="00F77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1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lastRenderedPageBreak/>
              <w:t>9.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>Drepturile omului,</w:t>
            </w:r>
            <w:r>
              <w:rPr>
                <w:lang w:val="en-US"/>
              </w:rPr>
              <w:t xml:space="preserve"> libertatea religioasă, asociere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>22 martie 2022 (definitivă: 22 iunie 2022)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Art. 9, Art. 11, Art. 14, NKR, înregistrare organizații religioase, discriminare religioasă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t>Organizația religioasă Martorii lui Iehova din NKR a fost refuzată în ceea ce privește î</w:t>
            </w:r>
            <w:r>
              <w:rPr>
                <w:b/>
                <w:bCs/>
                <w:lang w:val="en-US"/>
              </w:rPr>
              <w:t>nregistrarea oficială ca organizație religioasă de autoritățile NKR.</w:t>
            </w:r>
            <w:r>
              <w:rPr>
                <w:lang w:val="en-US"/>
              </w:rPr>
              <w:t xml:space="preserve"> Autoritățile au justificat decizia invocând lipsa conformității cu cerințele legislației locale, precum folosirea "metodelor psihologice" și influențarea credincioșilor. ECHR a concluzion</w:t>
            </w:r>
            <w:r>
              <w:rPr>
                <w:lang w:val="en-US"/>
              </w:rPr>
              <w:t>at că refuzul nu a avut motive relevante și suficiente, încălcând Art. 9 și Art. 11.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t>Hot</w:t>
            </w:r>
            <w:r w:rsidRPr="00F771C2">
              <w:rPr>
                <w:b/>
                <w:bCs/>
              </w:rPr>
              <w:t>ă</w:t>
            </w:r>
            <w:r>
              <w:rPr>
                <w:b/>
                <w:bCs/>
                <w:lang w:val="en-US"/>
              </w:rPr>
              <w:t>r</w:t>
            </w:r>
            <w:r w:rsidRPr="00F771C2">
              <w:rPr>
                <w:b/>
                <w:bCs/>
              </w:rPr>
              <w:t>â</w:t>
            </w:r>
            <w:r>
              <w:rPr>
                <w:b/>
                <w:bCs/>
                <w:lang w:val="en-US"/>
              </w:rPr>
              <w:t>rea</w:t>
            </w:r>
            <w:r w:rsidRPr="00F771C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constat</w:t>
            </w:r>
            <w:r w:rsidRPr="00F771C2">
              <w:rPr>
                <w:b/>
                <w:bCs/>
              </w:rPr>
              <w:t>ă î</w:t>
            </w:r>
            <w:r>
              <w:rPr>
                <w:b/>
                <w:bCs/>
                <w:lang w:val="en-US"/>
              </w:rPr>
              <w:t>nc</w:t>
            </w:r>
            <w:r w:rsidRPr="00F771C2">
              <w:rPr>
                <w:b/>
                <w:bCs/>
              </w:rPr>
              <w:t>ă</w:t>
            </w:r>
            <w:r>
              <w:rPr>
                <w:b/>
                <w:bCs/>
                <w:lang w:val="en-US"/>
              </w:rPr>
              <w:t>lc</w:t>
            </w:r>
            <w:r w:rsidRPr="00F771C2">
              <w:rPr>
                <w:b/>
                <w:bCs/>
              </w:rPr>
              <w:t>ă</w:t>
            </w:r>
            <w:r>
              <w:rPr>
                <w:b/>
                <w:bCs/>
                <w:lang w:val="en-US"/>
              </w:rPr>
              <w:t>ri</w:t>
            </w:r>
            <w:r w:rsidRPr="00F771C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clare</w:t>
            </w:r>
            <w:r w:rsidRPr="00F771C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ale</w:t>
            </w:r>
            <w:r w:rsidRPr="00F771C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drepturilor</w:t>
            </w:r>
            <w:r w:rsidRPr="00F771C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reclamantului</w:t>
            </w:r>
            <w:r w:rsidRPr="00F771C2">
              <w:rPr>
                <w:b/>
                <w:bCs/>
              </w:rPr>
              <w:t>, î</w:t>
            </w:r>
            <w:r>
              <w:rPr>
                <w:b/>
                <w:bCs/>
                <w:lang w:val="en-US"/>
              </w:rPr>
              <w:t>ns</w:t>
            </w:r>
            <w:r w:rsidRPr="00F771C2">
              <w:rPr>
                <w:b/>
                <w:bCs/>
              </w:rPr>
              <w:t xml:space="preserve">ă </w:t>
            </w:r>
            <w:r>
              <w:rPr>
                <w:b/>
                <w:bCs/>
                <w:lang w:val="en-US"/>
              </w:rPr>
              <w:t>m</w:t>
            </w:r>
            <w:r w:rsidRPr="00F771C2">
              <w:rPr>
                <w:b/>
                <w:bCs/>
              </w:rPr>
              <w:t>ă</w:t>
            </w:r>
            <w:r>
              <w:rPr>
                <w:b/>
                <w:bCs/>
                <w:lang w:val="en-US"/>
              </w:rPr>
              <w:t>surile</w:t>
            </w:r>
            <w:r w:rsidRPr="00F771C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compensatorii</w:t>
            </w:r>
            <w:r w:rsidRPr="00F771C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sunt</w:t>
            </w:r>
            <w:r w:rsidRPr="00F771C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limitate</w:t>
            </w:r>
            <w:r w:rsidRPr="00F771C2"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en-US"/>
              </w:rPr>
              <w:t>neabord</w:t>
            </w:r>
            <w:r w:rsidRPr="00F771C2">
              <w:rPr>
                <w:b/>
                <w:bCs/>
              </w:rPr>
              <w:t>â</w:t>
            </w:r>
            <w:r>
              <w:rPr>
                <w:b/>
                <w:bCs/>
                <w:lang w:val="en-US"/>
              </w:rPr>
              <w:t>nd</w:t>
            </w:r>
            <w:r w:rsidRPr="00F771C2">
              <w:rPr>
                <w:b/>
                <w:bCs/>
              </w:rPr>
              <w:t xml:space="preserve"> î</w:t>
            </w:r>
            <w:r>
              <w:rPr>
                <w:b/>
                <w:bCs/>
                <w:lang w:val="en-US"/>
              </w:rPr>
              <w:t>n</w:t>
            </w:r>
            <w:r w:rsidRPr="00F771C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mod</w:t>
            </w:r>
            <w:r w:rsidRPr="00F771C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direct</w:t>
            </w:r>
            <w:r w:rsidRPr="00F771C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problemele</w:t>
            </w:r>
            <w:r w:rsidRPr="00F771C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structurale</w:t>
            </w:r>
            <w:r w:rsidRPr="00F771C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din</w:t>
            </w:r>
            <w:r w:rsidRPr="00F771C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NKR</w:t>
            </w:r>
            <w:r w:rsidRPr="00F771C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privin</w:t>
            </w:r>
            <w:r>
              <w:rPr>
                <w:b/>
                <w:bCs/>
                <w:lang w:val="en-US"/>
              </w:rPr>
              <w:t>d</w:t>
            </w:r>
            <w:r w:rsidRPr="00F771C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drepturile</w:t>
            </w:r>
            <w:r w:rsidRPr="00F771C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religioase</w:t>
            </w:r>
            <w:r w:rsidRPr="00F771C2">
              <w:rPr>
                <w:b/>
                <w:bCs/>
              </w:rPr>
              <w:t>.</w:t>
            </w:r>
          </w:p>
        </w:tc>
      </w:tr>
      <w:tr w:rsidR="00E518D4" w:rsidRPr="00F77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9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lastRenderedPageBreak/>
              <w:t>10.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lang w:val="fr-FR"/>
              </w:rPr>
              <w:t>Drepturile omului, drept la viață privată și de familie, libertatea religioasă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>20 iulie 2021 (definitivă: 20 octombrie 2021)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>Art. 8, Art. 9, post-mortem, obiecții religioase, drept la informație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b/>
                <w:bCs/>
                <w:lang w:val="fr-FR"/>
              </w:rPr>
              <w:t>Reclamanta a obiectat, pe motive religioase, împotriva efectuării unei autopsii post-mortem a fiului său nou-născut.</w:t>
            </w:r>
            <w:r w:rsidRPr="00F771C2">
              <w:rPr>
                <w:lang w:val="fr-FR"/>
              </w:rPr>
              <w:t xml:space="preserve"> Autopsia a fost efectuată fără consimțământul său, iar organele copilului au fost păstrate pentru mai multe săptămâni. ECHR a constatat că </w:t>
            </w:r>
            <w:r w:rsidRPr="00F771C2">
              <w:rPr>
                <w:lang w:val="fr-FR"/>
              </w:rPr>
              <w:t>autoritățile nu au asigurat un echilibru just între interesele științifice și cele ale reclamantei.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b/>
                <w:bCs/>
                <w:lang w:val="fr-FR"/>
              </w:rPr>
              <w:t>Deși Curtea a recunoscut încălcările drepturilor reclamantei, despăgubirile acordate nu acoperă trauma suferită, iar hotărârea nu abordează aspectele sistem</w:t>
            </w:r>
            <w:r w:rsidRPr="00F771C2">
              <w:rPr>
                <w:b/>
                <w:bCs/>
                <w:lang w:val="fr-FR"/>
              </w:rPr>
              <w:t>ice privind consimțământul post-mortem în Austria.</w:t>
            </w:r>
          </w:p>
        </w:tc>
      </w:tr>
      <w:tr w:rsidR="00E51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1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t>11.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>Drepturile omului, libertatea religioasă, libertatea de exprimare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>23 noiembrie 2021 (definitivă: 23 februarie 2022)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>Art. 9, Art. 11, discurs ostil, restricții de adunare publică, Vaishnavism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b/>
                <w:bCs/>
                <w:lang w:val="fr-FR"/>
              </w:rPr>
              <w:t>Reclamanț</w:t>
            </w:r>
            <w:r w:rsidRPr="00F771C2">
              <w:rPr>
                <w:b/>
                <w:bCs/>
                <w:lang w:val="fr-FR"/>
              </w:rPr>
              <w:t>ii au întâmpinat discurs ostil din partea autorităților ruse și refuzuri arbitrare de a organiza evenimente publice religioase.</w:t>
            </w:r>
            <w:r w:rsidRPr="00F771C2">
              <w:rPr>
                <w:lang w:val="fr-FR"/>
              </w:rPr>
              <w:t xml:space="preserve"> Publicațiile oficiale ale autorităților regionale au folosit termeni derogatorii pentru a descrie Krishna Consciousness, iar înt</w:t>
            </w:r>
            <w:r w:rsidRPr="00F771C2">
              <w:rPr>
                <w:lang w:val="fr-FR"/>
              </w:rPr>
              <w:t>âlnirile publice au fost refuzate pe motive nejustificate. ECHR a concluzionat că autoritățile au depășit marja de apreciere permisă.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t>Hotărârea subliniază încălcările sistematice din Rusia privind drepturile religioase și oferă o bază pentru contestarea re</w:t>
            </w:r>
            <w:r>
              <w:rPr>
                <w:b/>
                <w:bCs/>
                <w:lang w:val="en-US"/>
              </w:rPr>
              <w:t>stricțiilor viitoare. Totuși, efectele hotărârii asupra schimbării de politici sunt incerte.</w:t>
            </w:r>
          </w:p>
        </w:tc>
      </w:tr>
      <w:tr w:rsidR="00E518D4" w:rsidRPr="00F77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1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lastRenderedPageBreak/>
              <w:t>12.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>Drepturile omului, libertatea religioasă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>20 iulie 2021 (definitivă: 20 octombrie 2021)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 xml:space="preserve">Art. 9 CEDO, obiecție de conștiință, serviciu militar obligatoriu, </w:t>
            </w:r>
            <w:r>
              <w:rPr>
                <w:lang w:val="en-US"/>
              </w:rPr>
              <w:t>Nagorno-Karabakh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b/>
                <w:bCs/>
                <w:lang w:val="fr-FR"/>
              </w:rPr>
              <w:t>Reclamantul, un Martor al lui Iehova, a fost condamnat pentru refuzul serviciului militar pe motive religioase.</w:t>
            </w:r>
            <w:r w:rsidRPr="00F771C2">
              <w:rPr>
                <w:lang w:val="fr-FR"/>
              </w:rPr>
              <w:t xml:space="preserve"> Autoritățile NKR nu au permis efectuarea serviciului civil alternativ, deși acesta era disponibil în Armenia. ECHR a concluzion</w:t>
            </w:r>
            <w:r w:rsidRPr="00F771C2">
              <w:rPr>
                <w:lang w:val="fr-FR"/>
              </w:rPr>
              <w:t>at că măsura luată de autoritățile NKR a fost disproporționată și nejustificată, încălcând Art. 9.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b/>
                <w:bCs/>
                <w:lang w:val="fr-FR"/>
              </w:rPr>
              <w:t>Decizia ECHR recunoaște încălcarea drepturilor reclamantului și subliniază importanța serviciului civil alternativ. Totuși, satisfacția este limitată, deoare</w:t>
            </w:r>
            <w:r w:rsidRPr="00F771C2">
              <w:rPr>
                <w:b/>
                <w:bCs/>
                <w:lang w:val="fr-FR"/>
              </w:rPr>
              <w:t>ce situația sistemică a obiecțiilor de conștiință în regiune rămâne nerezolvată.</w:t>
            </w:r>
          </w:p>
        </w:tc>
      </w:tr>
      <w:tr w:rsidR="00E51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1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t>13.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>Drepturile omului, libertatea religioasă, asociere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>29 iunie 2021 (definitivă: 29 septembrie 2021)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Art. 9, Art. 11, simbol interzis, dizolvare organizație, libertatea </w:t>
            </w:r>
            <w:r>
              <w:rPr>
                <w:lang w:val="en-US"/>
              </w:rPr>
              <w:t>asocierii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Organizațiile Falun Dafa și Falun Gong au fost dizolvate, iar simbolul lor interzis, fiind considerat extremist.</w:t>
            </w:r>
            <w:r>
              <w:rPr>
                <w:lang w:val="en-US"/>
              </w:rPr>
              <w:t xml:space="preserve"> Deși instanțele naționale au recunoscut ulterior încălcările, deciziile nu au fost complet implementate, iar simbolul rămâne în regis</w:t>
            </w:r>
            <w:r>
              <w:rPr>
                <w:lang w:val="en-US"/>
              </w:rPr>
              <w:t>trul materialelor extremiste.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Hotărârea subliniază încălcările drepturilor, dar lipsa implementării deciziilor interne limitează satisfacția reclamanților.</w:t>
            </w:r>
          </w:p>
        </w:tc>
      </w:tr>
      <w:tr w:rsidR="00E51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lastRenderedPageBreak/>
              <w:t>14.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lang w:val="fr-FR"/>
              </w:rPr>
              <w:t>Drepturile omului, viața privată și de familie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>25 iunie 2020 (definitivă: 25 septembrie 2020)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>Art. 9 CEDO, naștere, acte de stare civilă, date religioase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 w:rsidRPr="00F771C2">
              <w:rPr>
                <w:b/>
                <w:bCs/>
                <w:lang w:val="fr-FR"/>
              </w:rPr>
              <w:t>Mențiunea "onomatodosia" (nume acordat civil) în actele de stare civilă a expus reclamanții riscului de discriminare.</w:t>
            </w:r>
            <w:r w:rsidRPr="00F771C2">
              <w:rPr>
                <w:lang w:val="fr-FR"/>
              </w:rPr>
              <w:t xml:space="preserve"> </w:t>
            </w:r>
            <w:r>
              <w:rPr>
                <w:lang w:val="en-US"/>
              </w:rPr>
              <w:t>ECHR a constatat că practica autorităților nu este prescrisă de lege și încalc</w:t>
            </w:r>
            <w:r>
              <w:rPr>
                <w:lang w:val="en-US"/>
              </w:rPr>
              <w:t>ă Art. 9.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Decizia recunoaște încălcarea drepturilor, dar efectele practice asupra schimbării procedurilor administrative rămân incerte.</w:t>
            </w:r>
          </w:p>
        </w:tc>
      </w:tr>
      <w:tr w:rsidR="00E51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1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t>15.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>Drepturile omului, libertatea religioasă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>10 noiembrie 2020 (definitivă: 8 martie 2021)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 xml:space="preserve">Art. 9, construcții </w:t>
            </w:r>
            <w:r>
              <w:rPr>
                <w:lang w:val="en-US"/>
              </w:rPr>
              <w:t>religioase, urbanism, discriminare religioasă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b/>
                <w:bCs/>
                <w:lang w:val="fr-FR"/>
              </w:rPr>
              <w:t>Autoritățile bulgare au blocat construcția unui loc de cult pentru Martorii lui Iehova, invocând motive urbanistice.</w:t>
            </w:r>
            <w:r w:rsidRPr="00F771C2">
              <w:rPr>
                <w:lang w:val="fr-FR"/>
              </w:rPr>
              <w:t xml:space="preserve"> Curtea a concluzionat că măsurile au fost disproporționate și lipsite de justificare adecvată</w:t>
            </w:r>
            <w:r w:rsidRPr="00F771C2">
              <w:rPr>
                <w:lang w:val="fr-FR"/>
              </w:rPr>
              <w:t>.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t>Decizia recunoaște încălcarea drepturilor, dar măsurile compensatorii sunt limitate, iar problema intoleranței religioase persistă.</w:t>
            </w:r>
          </w:p>
        </w:tc>
      </w:tr>
      <w:tr w:rsidR="00E518D4" w:rsidRPr="00F77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1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lastRenderedPageBreak/>
              <w:t>16.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>Drepturile omului, libertatea religioasă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>12 mai 2020 (definitivă: 12 august 2020)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Art. 9, închisoare, libertatea de </w:t>
            </w:r>
            <w:r>
              <w:rPr>
                <w:lang w:val="en-US"/>
              </w:rPr>
              <w:t>cult, orar penitenciar, rugăciune nocturnă, Ramazan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b/>
                <w:bCs/>
                <w:lang w:val="fr-FR"/>
              </w:rPr>
              <w:t>Reclamantul, un deținut musulman, a fost sancționat disciplinar pentru rugăciuni nocturne efectuate în timpul Ramazanului.</w:t>
            </w:r>
            <w:r w:rsidRPr="00F771C2">
              <w:rPr>
                <w:lang w:val="fr-FR"/>
              </w:rPr>
              <w:t xml:space="preserve"> Autoritățile penitenciare au invocat încălcarea programului de somn obligatoriu î</w:t>
            </w:r>
            <w:r w:rsidRPr="00F771C2">
              <w:rPr>
                <w:lang w:val="fr-FR"/>
              </w:rPr>
              <w:t>ntre orele 22:00-06:00. ECHR a constatat că sancțiunea nu a fost justificată în mod adecvat și a subliniat că rugăciunile nu au afectat ordinea sau siguranța penitenciarului. Curtea a subliniat că autoritățile nu au respectat obligația de a găsi un echilib</w:t>
            </w:r>
            <w:r w:rsidRPr="00F771C2">
              <w:rPr>
                <w:lang w:val="fr-FR"/>
              </w:rPr>
              <w:t>ru între disciplina penitenciară și respectarea drepturilor religioase ale deținutului.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b/>
                <w:bCs/>
                <w:lang w:val="fr-FR"/>
              </w:rPr>
              <w:t>Curtea a acordat reclamantului 2.600 EUR pentru prejudicii morale. Decizia subliniază importanța respectării drepturilor religioase în penitenciare, dar măsurile de imp</w:t>
            </w:r>
            <w:r w:rsidRPr="00F771C2">
              <w:rPr>
                <w:b/>
                <w:bCs/>
                <w:lang w:val="fr-FR"/>
              </w:rPr>
              <w:t>lementare sistemică în Rusia rămân limitate, ceea ce reduce satisfacția generală a reclamantului.</w:t>
            </w:r>
          </w:p>
        </w:tc>
      </w:tr>
      <w:tr w:rsidR="00E51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1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lastRenderedPageBreak/>
              <w:t>17.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lang w:val="fr-FR"/>
              </w:rPr>
              <w:t>Drepturile omului, libertatea religioasă și de exprimare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lang w:val="en-US"/>
              </w:rPr>
              <w:t>20 februarie 2020 (definitivă: 20 iunie 2020)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lang w:val="fr-FR"/>
              </w:rPr>
              <w:t xml:space="preserve">Art. 9, Art. 5, Martorii lui Iehova, predicare de </w:t>
            </w:r>
            <w:r w:rsidRPr="00F771C2">
              <w:rPr>
                <w:lang w:val="fr-FR"/>
              </w:rPr>
              <w:t>la ușă la ușă, distribuție literatură religioasă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b/>
                <w:bCs/>
                <w:lang w:val="fr-FR"/>
              </w:rPr>
              <w:t>Reclamanții, membri ai Martorilor lui Iehova, au fost reținuți arbitrar și amendați pentru distribuirea literaturii religioase în public.</w:t>
            </w:r>
            <w:r w:rsidRPr="00F771C2">
              <w:rPr>
                <w:lang w:val="fr-FR"/>
              </w:rPr>
              <w:t xml:space="preserve"> ECHR a concluzionat că reținerea a fost nejustificată și ilegală, iar</w:t>
            </w:r>
            <w:r w:rsidRPr="00F771C2">
              <w:rPr>
                <w:lang w:val="fr-FR"/>
              </w:rPr>
              <w:t xml:space="preserve"> sancțiunile impuse nu au avut o bază legală clară. Curtea a subliniat că autoritățile nu au oferit dovezi privind metode improprii de prozelitism și că măsurile au încălcat libertatea religioasă a reclamanților.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 w:rsidRPr="00F771C2">
              <w:rPr>
                <w:b/>
                <w:bCs/>
                <w:lang w:val="fr-FR"/>
              </w:rPr>
              <w:t>Hotărârea recunoaște încălcările drepturilo</w:t>
            </w:r>
            <w:r w:rsidRPr="00F771C2">
              <w:rPr>
                <w:b/>
                <w:bCs/>
                <w:lang w:val="fr-FR"/>
              </w:rPr>
              <w:t xml:space="preserve">r reclamanților și acordă compensații financiare. </w:t>
            </w:r>
            <w:r>
              <w:rPr>
                <w:b/>
                <w:bCs/>
                <w:lang w:val="en-US"/>
              </w:rPr>
              <w:t>Totuși, efectele practice asupra politicilor naționale din Azerbaidjan rămân incerte, ceea ce limitează satisfacția generală a reclamanților.</w:t>
            </w:r>
          </w:p>
        </w:tc>
      </w:tr>
      <w:tr w:rsidR="00E518D4" w:rsidRPr="00F77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0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lastRenderedPageBreak/>
              <w:t>18.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Drepturile omului, libertatea religioas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 mai 2020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(definitiv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 12 august 2020)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Art. 9, libertatea religioas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penitenciar, rug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ciuni nocturne, Ramazan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Reclamantul, un de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inut musulman, a fost sanc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ionat pentru rug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ciuni nocturne efectuate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î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n timpul Ramazanului, contrar regimului penitenciar care impunea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„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somnul f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ă î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ntreruperi.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Autorit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ile nu au demonstrat 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rug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ciunile sale au afectat ordinea sau siguran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a penitenciarului. Rug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ciunile au fost realizate individual,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n izolare, f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zgomot sau perturb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ri. ECHR a stabilit 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regimul penitenciar nu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prevedea explicit un timp pentru rug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ciuni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 c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autorit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ile nu au oferit motive adecvate pentru ingerin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a5"/>
              <w:spacing w:after="0" w:line="240" w:lineRule="auto"/>
              <w:rPr>
                <w:lang w:val="fr-FR"/>
              </w:rPr>
            </w:pP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Curtea a constatat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nc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lcarea Articolului 9, acord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â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nd reclamantului 2.600 EUR pentru prejudicii morale. Decizia subliniaz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importan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a respect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rii l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ibert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ăț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ii religioase, chiar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ș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i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n condi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ii de deten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ie,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ns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satisfac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ț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ia reclamantului este limitat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ă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de lipsa unor m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ă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suri sistemice pentru protejarea drepturilor religioase 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î</w:t>
            </w:r>
            <w:r w:rsidRPr="00F771C2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n penitenciare.</w:t>
            </w:r>
          </w:p>
        </w:tc>
      </w:tr>
      <w:tr w:rsidR="00E518D4" w:rsidRPr="00F77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1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lastRenderedPageBreak/>
              <w:t>19.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2A"/>
              <w:spacing w:after="160"/>
            </w:pPr>
            <w:r>
              <w:rPr>
                <w:sz w:val="22"/>
                <w:szCs w:val="22"/>
              </w:rPr>
              <w:t>Drepturile omului, libertatea religioasă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2A"/>
              <w:spacing w:after="160"/>
            </w:pPr>
            <w:r>
              <w:rPr>
                <w:sz w:val="22"/>
                <w:szCs w:val="22"/>
              </w:rPr>
              <w:t xml:space="preserve">10 noiembrie 2020 </w:t>
            </w:r>
            <w:r>
              <w:rPr>
                <w:sz w:val="22"/>
                <w:szCs w:val="22"/>
              </w:rPr>
              <w:t>(definitivă: 8 martie 2021)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2A"/>
              <w:spacing w:after="160"/>
            </w:pPr>
            <w:r>
              <w:rPr>
                <w:sz w:val="22"/>
                <w:szCs w:val="22"/>
              </w:rPr>
              <w:t>Art. 9, convertire religioasă, sistem penitenciar, cereri alimentare religioase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2A"/>
              <w:spacing w:after="160"/>
              <w:rPr>
                <w:lang w:val="fr-FR"/>
              </w:rPr>
            </w:pPr>
            <w:r w:rsidRPr="00F771C2">
              <w:rPr>
                <w:b/>
                <w:bCs/>
                <w:sz w:val="22"/>
                <w:szCs w:val="22"/>
                <w:lang w:val="fr-FR"/>
              </w:rPr>
              <w:t xml:space="preserve">Reclamantul a solicitat mese fără </w:t>
            </w:r>
            <w:r>
              <w:rPr>
                <w:b/>
                <w:bCs/>
                <w:sz w:val="22"/>
                <w:szCs w:val="22"/>
                <w:lang w:val="fr-FR"/>
              </w:rPr>
              <w:t xml:space="preserve">carne de porc </w:t>
            </w:r>
            <w:r w:rsidRPr="00F771C2">
              <w:rPr>
                <w:b/>
                <w:bCs/>
                <w:sz w:val="22"/>
                <w:szCs w:val="22"/>
                <w:lang w:val="fr-FR"/>
              </w:rPr>
              <w:t>în penitenciar după convertirea la Islam.</w:t>
            </w:r>
            <w:r w:rsidRPr="00F771C2">
              <w:rPr>
                <w:sz w:val="22"/>
                <w:szCs w:val="22"/>
                <w:lang w:val="fr-FR"/>
              </w:rPr>
              <w:t xml:space="preserve"> Autoritățile penitenciare au refuzat cererea din lipsa unu</w:t>
            </w:r>
            <w:r w:rsidRPr="00F771C2">
              <w:rPr>
                <w:sz w:val="22"/>
                <w:szCs w:val="22"/>
                <w:lang w:val="fr-FR"/>
              </w:rPr>
              <w:t>i document emis de cultul respectiv care să ateste convertirea. ECHR a constatat că cerinț</w:t>
            </w:r>
            <w:r>
              <w:rPr>
                <w:sz w:val="22"/>
                <w:szCs w:val="22"/>
                <w:lang w:val="it-IT"/>
              </w:rPr>
              <w:t>a era dispropor</w:t>
            </w:r>
            <w:r w:rsidRPr="00F771C2">
              <w:rPr>
                <w:sz w:val="22"/>
                <w:szCs w:val="22"/>
                <w:lang w:val="fr-FR"/>
              </w:rPr>
              <w:t>ț</w:t>
            </w:r>
            <w:r>
              <w:rPr>
                <w:sz w:val="22"/>
                <w:szCs w:val="22"/>
                <w:lang w:val="it-IT"/>
              </w:rPr>
              <w:t>ionat</w:t>
            </w:r>
            <w:r w:rsidRPr="00F771C2">
              <w:rPr>
                <w:sz w:val="22"/>
                <w:szCs w:val="22"/>
                <w:lang w:val="fr-FR"/>
              </w:rPr>
              <w:t xml:space="preserve">ă și nu respecta drepturile reclamantului, subliniind că sistemul penitenciar ar trebui să fie adaptat pentru a permite respectarea cerințelor </w:t>
            </w:r>
            <w:r w:rsidRPr="00F771C2">
              <w:rPr>
                <w:sz w:val="22"/>
                <w:szCs w:val="22"/>
                <w:lang w:val="fr-FR"/>
              </w:rPr>
              <w:t>religioase legitime.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2A"/>
              <w:spacing w:after="160"/>
              <w:rPr>
                <w:lang w:val="fr-FR"/>
              </w:rPr>
            </w:pPr>
            <w:r w:rsidRPr="00F771C2">
              <w:rPr>
                <w:b/>
                <w:bCs/>
                <w:sz w:val="22"/>
                <w:szCs w:val="22"/>
                <w:lang w:val="fr-FR"/>
              </w:rPr>
              <w:t>Hotărârea a recunoscut încălcările și a acordat compensații financiare. Totuși, satisfacția este limitată, deoarece lipsa unor măsuri sistemice pentru gestionarea cerințelor religioase ale deținuților persistă.</w:t>
            </w:r>
          </w:p>
        </w:tc>
      </w:tr>
      <w:tr w:rsidR="00E51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1"/>
        </w:trPr>
        <w:tc>
          <w:tcPr>
            <w:tcW w:w="5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a5"/>
              <w:spacing w:after="0" w:line="240" w:lineRule="auto"/>
            </w:pPr>
            <w:r>
              <w:rPr>
                <w:b/>
                <w:bCs/>
                <w:lang w:val="en-US"/>
              </w:rPr>
              <w:lastRenderedPageBreak/>
              <w:t>20.</w:t>
            </w:r>
          </w:p>
        </w:tc>
        <w:tc>
          <w:tcPr>
            <w:tcW w:w="161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2A"/>
              <w:spacing w:after="160"/>
              <w:rPr>
                <w:lang w:val="fr-FR"/>
              </w:rPr>
            </w:pPr>
            <w:r w:rsidRPr="00F771C2">
              <w:rPr>
                <w:sz w:val="22"/>
                <w:szCs w:val="22"/>
                <w:lang w:val="fr-FR"/>
              </w:rPr>
              <w:t xml:space="preserve">Drepturile omului, </w:t>
            </w:r>
            <w:r w:rsidRPr="00F771C2">
              <w:rPr>
                <w:sz w:val="22"/>
                <w:szCs w:val="22"/>
                <w:lang w:val="fr-FR"/>
              </w:rPr>
              <w:t>viața privată și de familie, libertatea religioasă</w:t>
            </w:r>
          </w:p>
        </w:tc>
        <w:tc>
          <w:tcPr>
            <w:tcW w:w="1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2A"/>
              <w:spacing w:after="160"/>
            </w:pPr>
            <w:r>
              <w:rPr>
                <w:sz w:val="22"/>
                <w:szCs w:val="22"/>
              </w:rPr>
              <w:t>8 noiembrie 2022 (definitivă: 8 februarie 2023)</w:t>
            </w:r>
          </w:p>
        </w:tc>
        <w:tc>
          <w:tcPr>
            <w:tcW w:w="19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2A"/>
              <w:spacing w:after="160"/>
            </w:pPr>
            <w:r>
              <w:rPr>
                <w:sz w:val="22"/>
                <w:szCs w:val="22"/>
              </w:rPr>
              <w:t>Art. 8, Art. 9, înmormântare, ritualuri musulmane, drepturi religioase</w:t>
            </w:r>
          </w:p>
        </w:tc>
        <w:tc>
          <w:tcPr>
            <w:tcW w:w="20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Pr="00F771C2" w:rsidRDefault="00D45582">
            <w:pPr>
              <w:pStyle w:val="2A"/>
              <w:spacing w:after="160"/>
              <w:rPr>
                <w:lang w:val="fr-FR"/>
              </w:rPr>
            </w:pPr>
            <w:r w:rsidRPr="00F771C2">
              <w:rPr>
                <w:b/>
                <w:bCs/>
                <w:sz w:val="22"/>
                <w:szCs w:val="22"/>
                <w:lang w:val="fr-FR"/>
              </w:rPr>
              <w:t>Reclamanții nu au fost autorizați să transporte corpurile fiilor lor decedați în Turci</w:t>
            </w:r>
            <w:r w:rsidRPr="00F771C2">
              <w:rPr>
                <w:b/>
                <w:bCs/>
                <w:sz w:val="22"/>
                <w:szCs w:val="22"/>
                <w:lang w:val="fr-FR"/>
              </w:rPr>
              <w:t>a pentru a fi înmormântați conform tradițiilor musulmane.</w:t>
            </w:r>
            <w:r w:rsidRPr="00F771C2">
              <w:rPr>
                <w:sz w:val="22"/>
                <w:szCs w:val="22"/>
                <w:lang w:val="fr-FR"/>
              </w:rPr>
              <w:t xml:space="preserve"> Curtea a constatat că autoritățile belgiene nu au justificat în mod adecvat interdicția, subliniind că aceasta a fost menținută pe î</w:t>
            </w:r>
            <w:r>
              <w:rPr>
                <w:sz w:val="22"/>
                <w:szCs w:val="22"/>
                <w:lang w:val="es-ES_tradnl"/>
              </w:rPr>
              <w:t>ntreaga durat</w:t>
            </w:r>
            <w:r w:rsidRPr="00F771C2">
              <w:rPr>
                <w:sz w:val="22"/>
                <w:szCs w:val="22"/>
                <w:lang w:val="fr-FR"/>
              </w:rPr>
              <w:t xml:space="preserve">ă </w:t>
            </w:r>
            <w:r>
              <w:rPr>
                <w:sz w:val="22"/>
                <w:szCs w:val="22"/>
                <w:lang w:val="es-ES_tradnl"/>
              </w:rPr>
              <w:t>a investiga</w:t>
            </w:r>
            <w:r w:rsidRPr="00F771C2">
              <w:rPr>
                <w:sz w:val="22"/>
                <w:szCs w:val="22"/>
                <w:lang w:val="fr-FR"/>
              </w:rPr>
              <w:t>ț</w:t>
            </w:r>
            <w:r w:rsidRPr="00F771C2">
              <w:rPr>
                <w:sz w:val="22"/>
                <w:szCs w:val="22"/>
                <w:lang w:val="fr-FR"/>
              </w:rPr>
              <w:t>iei, fără posibilitatea reevaluării nec</w:t>
            </w:r>
            <w:r w:rsidRPr="00F771C2">
              <w:rPr>
                <w:sz w:val="22"/>
                <w:szCs w:val="22"/>
                <w:lang w:val="fr-FR"/>
              </w:rPr>
              <w:t>esității măsurii. ECHR a recunoscut o încălcare a drepturilor la viața privată și de familie (Art. 8) și la libertatea religioasă (Art. 9).</w:t>
            </w:r>
          </w:p>
        </w:tc>
        <w:tc>
          <w:tcPr>
            <w:tcW w:w="33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18D4" w:rsidRDefault="00D45582">
            <w:pPr>
              <w:pStyle w:val="2A"/>
              <w:spacing w:after="160"/>
            </w:pPr>
            <w:r w:rsidRPr="00F771C2">
              <w:rPr>
                <w:b/>
                <w:bCs/>
                <w:sz w:val="22"/>
                <w:szCs w:val="22"/>
                <w:lang w:val="fr-FR"/>
              </w:rPr>
              <w:t>Curtea a constatat încălcarea drepturilor reclamanților și a oferit compensații financiare, dar impactul general asu</w:t>
            </w:r>
            <w:r w:rsidRPr="00F771C2">
              <w:rPr>
                <w:b/>
                <w:bCs/>
                <w:sz w:val="22"/>
                <w:szCs w:val="22"/>
                <w:lang w:val="fr-FR"/>
              </w:rPr>
              <w:t xml:space="preserve">pra schimbării practicilor administrative este incert. </w:t>
            </w:r>
            <w:r>
              <w:rPr>
                <w:b/>
                <w:bCs/>
                <w:sz w:val="22"/>
                <w:szCs w:val="22"/>
              </w:rPr>
              <w:t>Reclamanții și-au exprimat o satisfacție parțială.</w:t>
            </w:r>
          </w:p>
        </w:tc>
      </w:tr>
    </w:tbl>
    <w:p w:rsidR="00E518D4" w:rsidRDefault="00D45582">
      <w:pPr>
        <w:pStyle w:val="a5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1307944</wp:posOffset>
                </wp:positionH>
                <wp:positionV relativeFrom="page">
                  <wp:posOffset>1397340</wp:posOffset>
                </wp:positionV>
                <wp:extent cx="5546815" cy="362369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815" cy="3623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715" w:type="dxa"/>
                              <w:tblInd w:w="10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D0DDEF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57"/>
                              <w:gridCol w:w="4358"/>
                            </w:tblGrid>
                            <w:tr w:rsidR="00E518D4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321"/>
                              </w:trPr>
                              <w:tc>
                                <w:tcPr>
                                  <w:tcW w:w="435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5B9BD5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518D4" w:rsidRDefault="00D45582">
                                  <w:pPr>
                                    <w:suppressAutoHyphens/>
                                    <w:outlineLvl w:val="0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Art. </w:t>
                                  </w:r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9 </w:t>
                                  </w:r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"Libertatea de g</w:t>
                                  </w:r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â</w:t>
                                  </w:r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:lang w:val="fr-FR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ndire, de con</w:t>
                                  </w:r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ş</w:t>
                                  </w:r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tiin</w:t>
                                  </w:r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ţă ş</w:t>
                                  </w:r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FFFFFF"/>
                                      <w:sz w:val="36"/>
                                      <w:szCs w:val="3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i de religie"</w:t>
                                  </w:r>
                                  <w:r>
                                    <w:rPr>
                                      <w:rFonts w:ascii="Calibri" w:hAnsi="Calibri" w:cs="Arial Unicode MS"/>
                                      <w:color w:val="FFFFFF"/>
                                      <w:sz w:val="36"/>
                                      <w:szCs w:val="3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357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D0DDE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518D4" w:rsidRDefault="00D45582">
                                  <w:pPr>
                                    <w:suppressAutoHyphens/>
                                    <w:outlineLvl w:val="0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36"/>
                                      <w:szCs w:val="36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Elaborat de Panas Valeria </w:t>
                                  </w:r>
                                </w:p>
                              </w:tc>
                            </w:tr>
                          </w:tbl>
                          <w:p w:rsidR="00000000" w:rsidRDefault="00D45582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103pt;margin-top:110.05pt;width:436.75pt;height:28.5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8715" w:type="dxa"/>
                        <w:tblInd w:w="10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D0DDEF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57"/>
                        <w:gridCol w:w="4358"/>
                      </w:tblGrid>
                      <w:tr w:rsidR="00E518D4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321"/>
                        </w:trPr>
                        <w:tc>
                          <w:tcPr>
                            <w:tcW w:w="435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5B9BD5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518D4" w:rsidRDefault="00D45582">
                            <w:pPr>
                              <w:suppressAutoHyphens/>
                              <w:outlineLvl w:val="0"/>
                            </w:pPr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Art. </w:t>
                            </w:r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9 </w:t>
                            </w:r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"Libertatea de g</w:t>
                            </w:r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â</w:t>
                            </w:r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lang w:val="fr-FR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ndire, de con</w:t>
                            </w:r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ş</w:t>
                            </w:r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tiin</w:t>
                            </w:r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ţă ş</w:t>
                            </w:r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i de religie"</w:t>
                            </w:r>
                            <w:r>
                              <w:rPr>
                                <w:rFonts w:ascii="Calibri" w:hAnsi="Calibri" w:cs="Arial Unicode MS"/>
                                <w:color w:val="FFFFFF"/>
                                <w:sz w:val="36"/>
                                <w:szCs w:val="3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357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D0DDE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518D4" w:rsidRDefault="00D45582">
                            <w:pPr>
                              <w:suppressAutoHyphens/>
                              <w:outlineLvl w:val="0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36"/>
                                <w:szCs w:val="36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Elaborat de Panas Valeria </w:t>
                            </w:r>
                          </w:p>
                        </w:tc>
                      </w:tr>
                    </w:tbl>
                    <w:p w:rsidR="00000000" w:rsidRDefault="00D45582"/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E518D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582" w:rsidRDefault="00D45582">
      <w:r>
        <w:separator/>
      </w:r>
    </w:p>
  </w:endnote>
  <w:endnote w:type="continuationSeparator" w:id="0">
    <w:p w:rsidR="00D45582" w:rsidRDefault="00D4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D4" w:rsidRDefault="00E518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582" w:rsidRDefault="00D45582">
      <w:r>
        <w:separator/>
      </w:r>
    </w:p>
  </w:footnote>
  <w:footnote w:type="continuationSeparator" w:id="0">
    <w:p w:rsidR="00D45582" w:rsidRDefault="00D45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D4" w:rsidRDefault="00E518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D4"/>
    <w:rsid w:val="00D45582"/>
    <w:rsid w:val="00E518D4"/>
    <w:rsid w:val="00F7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EAA78-C470-4458-A747-F6EFB7E1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2A">
    <w:name w:val="Стиль таблицы 2 A"/>
    <w:rPr>
      <w:rFonts w:cs="Arial Unicode MS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3082</Words>
  <Characters>17569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2024-12-08T00:38:00Z</dcterms:created>
  <dcterms:modified xsi:type="dcterms:W3CDTF">2024-12-08T00:38:00Z</dcterms:modified>
</cp:coreProperties>
</file>