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923AD3" w14:textId="77777777" w:rsidR="00E826E0" w:rsidRDefault="00E826E0" w:rsidP="00E826E0">
      <w:pPr>
        <w:jc w:val="center"/>
        <w:rPr>
          <w:rFonts w:ascii="Times New Roman" w:hAnsi="Times New Roman" w:cs="Times New Roman"/>
          <w:sz w:val="32"/>
          <w:szCs w:val="32"/>
        </w:rPr>
      </w:pPr>
      <w:bookmarkStart w:id="0" w:name="_GoBack"/>
      <w:bookmarkEnd w:id="0"/>
    </w:p>
    <w:p w14:paraId="7CCA14AA" w14:textId="77777777" w:rsidR="00E826E0" w:rsidRDefault="00E826E0" w:rsidP="00E826E0">
      <w:pPr>
        <w:jc w:val="center"/>
        <w:rPr>
          <w:rFonts w:ascii="Times New Roman" w:hAnsi="Times New Roman" w:cs="Times New Roman"/>
          <w:sz w:val="32"/>
          <w:szCs w:val="32"/>
        </w:rPr>
      </w:pPr>
    </w:p>
    <w:p w14:paraId="4789415A" w14:textId="77777777" w:rsidR="00E826E0" w:rsidRDefault="00E826E0" w:rsidP="00E826E0">
      <w:pPr>
        <w:jc w:val="center"/>
        <w:rPr>
          <w:rFonts w:ascii="Times New Roman" w:hAnsi="Times New Roman" w:cs="Times New Roman"/>
          <w:sz w:val="32"/>
          <w:szCs w:val="32"/>
        </w:rPr>
      </w:pPr>
    </w:p>
    <w:p w14:paraId="1B691F57" w14:textId="6F87CB25" w:rsidR="00E826E0" w:rsidRPr="00E826E0" w:rsidRDefault="00E826E0" w:rsidP="00E826E0">
      <w:pPr>
        <w:jc w:val="center"/>
        <w:rPr>
          <w:rFonts w:ascii="Times New Roman" w:hAnsi="Times New Roman" w:cs="Times New Roman"/>
          <w:sz w:val="32"/>
          <w:szCs w:val="32"/>
        </w:rPr>
      </w:pPr>
      <w:r w:rsidRPr="00E826E0">
        <w:rPr>
          <w:rFonts w:ascii="Times New Roman" w:hAnsi="Times New Roman" w:cs="Times New Roman"/>
          <w:sz w:val="32"/>
          <w:szCs w:val="32"/>
        </w:rPr>
        <w:t>INDICE TABELAR</w:t>
      </w:r>
    </w:p>
    <w:p w14:paraId="3AAB2D4D" w14:textId="0FD756F9" w:rsidR="00CF128A" w:rsidRDefault="00E826E0" w:rsidP="00E826E0">
      <w:pPr>
        <w:jc w:val="center"/>
        <w:rPr>
          <w:rFonts w:ascii="Times New Roman" w:hAnsi="Times New Roman" w:cs="Times New Roman"/>
          <w:sz w:val="32"/>
          <w:szCs w:val="32"/>
        </w:rPr>
      </w:pPr>
      <w:r w:rsidRPr="00E826E0">
        <w:rPr>
          <w:rFonts w:ascii="Times New Roman" w:hAnsi="Times New Roman" w:cs="Times New Roman"/>
          <w:sz w:val="32"/>
          <w:szCs w:val="32"/>
        </w:rPr>
        <w:t>Hotărâri ale Curții Europene a Drepturilor</w:t>
      </w:r>
      <w:r>
        <w:rPr>
          <w:rFonts w:ascii="Times New Roman" w:hAnsi="Times New Roman" w:cs="Times New Roman"/>
          <w:sz w:val="32"/>
          <w:szCs w:val="32"/>
        </w:rPr>
        <w:t xml:space="preserve"> </w:t>
      </w:r>
    </w:p>
    <w:p w14:paraId="157B29B9" w14:textId="4ABCF95B" w:rsidR="00E826E0" w:rsidRPr="00E826E0" w:rsidRDefault="00E826E0" w:rsidP="00E826E0">
      <w:pPr>
        <w:jc w:val="center"/>
        <w:rPr>
          <w:rFonts w:ascii="Times New Roman" w:hAnsi="Times New Roman" w:cs="Times New Roman"/>
          <w:sz w:val="32"/>
          <w:szCs w:val="32"/>
        </w:rPr>
      </w:pPr>
      <w:r>
        <w:rPr>
          <w:rFonts w:ascii="Times New Roman" w:hAnsi="Times New Roman" w:cs="Times New Roman"/>
          <w:sz w:val="32"/>
          <w:szCs w:val="32"/>
        </w:rPr>
        <w:t xml:space="preserve">Articolul 11 </w:t>
      </w:r>
    </w:p>
    <w:p w14:paraId="39562426" w14:textId="77777777" w:rsidR="00E826E0" w:rsidRDefault="00E826E0"/>
    <w:p w14:paraId="2955DEA7" w14:textId="77777777" w:rsidR="00E826E0" w:rsidRDefault="00E826E0"/>
    <w:p w14:paraId="0E7A68AF" w14:textId="77777777" w:rsidR="00E826E0" w:rsidRDefault="00E826E0"/>
    <w:p w14:paraId="145B845D" w14:textId="77777777" w:rsidR="00E826E0" w:rsidRDefault="00E826E0"/>
    <w:p w14:paraId="71026E79" w14:textId="77777777" w:rsidR="00E826E0" w:rsidRDefault="00E826E0"/>
    <w:p w14:paraId="2BF7355E" w14:textId="77777777" w:rsidR="00E826E0" w:rsidRDefault="00E826E0"/>
    <w:p w14:paraId="0447DBC0" w14:textId="77777777" w:rsidR="00E826E0" w:rsidRDefault="00E826E0"/>
    <w:p w14:paraId="719AAF31" w14:textId="77777777" w:rsidR="00E826E0" w:rsidRDefault="00E826E0"/>
    <w:p w14:paraId="6DC57012" w14:textId="77777777" w:rsidR="00E826E0" w:rsidRDefault="00E826E0"/>
    <w:p w14:paraId="44CAA9B4" w14:textId="77777777" w:rsidR="00E826E0" w:rsidRDefault="00E826E0"/>
    <w:p w14:paraId="1A92234E" w14:textId="36E27B66" w:rsidR="00E826E0" w:rsidRPr="00D733D2" w:rsidRDefault="009A4A5E">
      <w:pPr>
        <w:rPr>
          <w:b/>
          <w:bCs/>
          <w:lang w:val="fr-FR"/>
        </w:rPr>
      </w:pPr>
      <w:r w:rsidRPr="00D733D2">
        <w:rPr>
          <w:lang w:val="fr-FR"/>
        </w:rPr>
        <w:t xml:space="preserve">Disciplina: </w:t>
      </w:r>
      <w:r w:rsidR="001A110D" w:rsidRPr="00D733D2">
        <w:rPr>
          <w:b/>
          <w:bCs/>
          <w:lang w:val="fr-FR"/>
        </w:rPr>
        <w:t>Principiile aplicării Convenției Europene a  Drepturilor Omului în ordinea juridică internă</w:t>
      </w:r>
    </w:p>
    <w:p w14:paraId="73FD194D" w14:textId="1DD03924" w:rsidR="00E826E0" w:rsidRPr="00E826E0" w:rsidRDefault="00E826E0">
      <w:r>
        <w:t>Realizat: Țur</w:t>
      </w:r>
      <w:r w:rsidR="009A4A5E">
        <w:t>ca</w:t>
      </w:r>
      <w:r>
        <w:t>n Irina</w:t>
      </w:r>
    </w:p>
    <w:p w14:paraId="2CC6C62A" w14:textId="77777777" w:rsidR="00E826E0" w:rsidRDefault="00E826E0"/>
    <w:p w14:paraId="67783DA5" w14:textId="77777777" w:rsidR="00E826E0" w:rsidRDefault="00E826E0"/>
    <w:p w14:paraId="1159AAF2" w14:textId="77777777" w:rsidR="00E826E0" w:rsidRDefault="00E826E0"/>
    <w:p w14:paraId="561B4C5E" w14:textId="77777777" w:rsidR="00E826E0" w:rsidRDefault="00E826E0"/>
    <w:tbl>
      <w:tblPr>
        <w:tblStyle w:val="ac"/>
        <w:tblW w:w="14912" w:type="dxa"/>
        <w:tblInd w:w="-431" w:type="dxa"/>
        <w:tblLayout w:type="fixed"/>
        <w:tblLook w:val="04A0" w:firstRow="1" w:lastRow="0" w:firstColumn="1" w:lastColumn="0" w:noHBand="0" w:noVBand="1"/>
      </w:tblPr>
      <w:tblGrid>
        <w:gridCol w:w="1227"/>
        <w:gridCol w:w="1203"/>
        <w:gridCol w:w="1506"/>
        <w:gridCol w:w="1417"/>
        <w:gridCol w:w="6582"/>
        <w:gridCol w:w="2977"/>
      </w:tblGrid>
      <w:tr w:rsidR="007D6568" w:rsidRPr="00DA3222" w14:paraId="3E84BBE8" w14:textId="77777777" w:rsidTr="005F10B6">
        <w:tc>
          <w:tcPr>
            <w:tcW w:w="1227" w:type="dxa"/>
          </w:tcPr>
          <w:p w14:paraId="339F35EE" w14:textId="7E025606" w:rsidR="007D6568" w:rsidRPr="00DA3222" w:rsidRDefault="007D6568" w:rsidP="00854C0D">
            <w:pPr>
              <w:widowControl w:val="0"/>
              <w:jc w:val="center"/>
              <w:rPr>
                <w:rFonts w:cs="Times New Roman"/>
                <w:b/>
                <w:bCs/>
                <w:lang w:val="ro-RO"/>
              </w:rPr>
            </w:pPr>
            <w:r w:rsidRPr="00DA3222">
              <w:rPr>
                <w:rFonts w:cs="Times New Roman"/>
                <w:b/>
                <w:bCs/>
                <w:lang w:val="ro-RO"/>
              </w:rPr>
              <w:t>Articolul</w:t>
            </w:r>
          </w:p>
        </w:tc>
        <w:tc>
          <w:tcPr>
            <w:tcW w:w="1203" w:type="dxa"/>
          </w:tcPr>
          <w:p w14:paraId="7DE4A9F3" w14:textId="10D2529A" w:rsidR="007D6568" w:rsidRPr="00DA3222" w:rsidRDefault="007D6568" w:rsidP="00854C0D">
            <w:pPr>
              <w:widowControl w:val="0"/>
              <w:jc w:val="center"/>
              <w:rPr>
                <w:rFonts w:cs="Times New Roman"/>
                <w:b/>
                <w:bCs/>
                <w:lang w:val="ro-RO"/>
              </w:rPr>
            </w:pPr>
            <w:r w:rsidRPr="00DA3222">
              <w:rPr>
                <w:rFonts w:cs="Times New Roman"/>
                <w:b/>
                <w:bCs/>
                <w:lang w:val="ro-RO"/>
              </w:rPr>
              <w:t>Domeniu</w:t>
            </w:r>
          </w:p>
        </w:tc>
        <w:tc>
          <w:tcPr>
            <w:tcW w:w="1506" w:type="dxa"/>
          </w:tcPr>
          <w:p w14:paraId="4858BBD9" w14:textId="1BCBEE34" w:rsidR="007D6568" w:rsidRPr="00DA3222" w:rsidRDefault="007D6568" w:rsidP="00854C0D">
            <w:pPr>
              <w:widowControl w:val="0"/>
              <w:jc w:val="center"/>
              <w:rPr>
                <w:rFonts w:cs="Times New Roman"/>
                <w:b/>
                <w:bCs/>
                <w:lang w:val="ro-RO"/>
              </w:rPr>
            </w:pPr>
            <w:r w:rsidRPr="00DA3222">
              <w:rPr>
                <w:rFonts w:cs="Times New Roman"/>
                <w:b/>
                <w:bCs/>
                <w:lang w:val="ro-RO"/>
              </w:rPr>
              <w:t>Cauza</w:t>
            </w:r>
          </w:p>
        </w:tc>
        <w:tc>
          <w:tcPr>
            <w:tcW w:w="1417" w:type="dxa"/>
          </w:tcPr>
          <w:p w14:paraId="0C74C3F8" w14:textId="7DE5D628" w:rsidR="007D6568" w:rsidRPr="00DA3222" w:rsidRDefault="007D6568" w:rsidP="00854C0D">
            <w:pPr>
              <w:widowControl w:val="0"/>
              <w:jc w:val="center"/>
              <w:rPr>
                <w:rFonts w:cs="Times New Roman"/>
                <w:b/>
                <w:bCs/>
                <w:lang w:val="ro-RO"/>
              </w:rPr>
            </w:pPr>
            <w:r w:rsidRPr="00DA3222">
              <w:rPr>
                <w:rFonts w:cs="Times New Roman"/>
                <w:b/>
                <w:bCs/>
                <w:lang w:val="ro-RO"/>
              </w:rPr>
              <w:t>Cuvinte-</w:t>
            </w:r>
            <w:r w:rsidRPr="00DA3222">
              <w:rPr>
                <w:rFonts w:cs="Times New Roman"/>
                <w:b/>
                <w:bCs/>
                <w:lang w:val="ro-RO"/>
              </w:rPr>
              <w:lastRenderedPageBreak/>
              <w:t>cheie</w:t>
            </w:r>
          </w:p>
        </w:tc>
        <w:tc>
          <w:tcPr>
            <w:tcW w:w="6582" w:type="dxa"/>
          </w:tcPr>
          <w:p w14:paraId="768EB5C4" w14:textId="2ADC2118" w:rsidR="007D6568" w:rsidRPr="00DA3222" w:rsidRDefault="007D6568" w:rsidP="00854C0D">
            <w:pPr>
              <w:widowControl w:val="0"/>
              <w:jc w:val="center"/>
              <w:rPr>
                <w:rFonts w:cs="Times New Roman"/>
                <w:b/>
                <w:bCs/>
                <w:lang w:val="ro-RO"/>
              </w:rPr>
            </w:pPr>
            <w:r w:rsidRPr="00DA3222">
              <w:rPr>
                <w:rFonts w:cs="Times New Roman"/>
                <w:b/>
                <w:bCs/>
                <w:lang w:val="ro-RO"/>
              </w:rPr>
              <w:lastRenderedPageBreak/>
              <w:t>Extras din hotărâre</w:t>
            </w:r>
          </w:p>
        </w:tc>
        <w:tc>
          <w:tcPr>
            <w:tcW w:w="2977" w:type="dxa"/>
          </w:tcPr>
          <w:p w14:paraId="5BE014A4" w14:textId="57082A66" w:rsidR="007D6568" w:rsidRPr="00DA3222" w:rsidRDefault="007D6568" w:rsidP="00854C0D">
            <w:pPr>
              <w:widowControl w:val="0"/>
              <w:jc w:val="center"/>
              <w:rPr>
                <w:rFonts w:cs="Times New Roman"/>
                <w:b/>
                <w:bCs/>
                <w:lang w:val="ro-RO"/>
              </w:rPr>
            </w:pPr>
            <w:r w:rsidRPr="00DA3222">
              <w:rPr>
                <w:rFonts w:cs="Times New Roman"/>
                <w:b/>
                <w:bCs/>
                <w:lang w:val="ro-RO"/>
              </w:rPr>
              <w:t>Aprecierea/ Satisfacţie</w:t>
            </w:r>
          </w:p>
        </w:tc>
      </w:tr>
      <w:tr w:rsidR="007D6568" w:rsidRPr="00074757" w14:paraId="2B314C6A" w14:textId="77777777" w:rsidTr="005F10B6">
        <w:tc>
          <w:tcPr>
            <w:tcW w:w="1227" w:type="dxa"/>
          </w:tcPr>
          <w:p w14:paraId="05299571" w14:textId="78AF4ACC"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11</w:t>
            </w:r>
          </w:p>
        </w:tc>
        <w:tc>
          <w:tcPr>
            <w:tcW w:w="1203" w:type="dxa"/>
          </w:tcPr>
          <w:p w14:paraId="2756C195" w14:textId="058A49F4"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Libertatea de întrunire</w:t>
            </w:r>
          </w:p>
        </w:tc>
        <w:tc>
          <w:tcPr>
            <w:tcW w:w="1506" w:type="dxa"/>
          </w:tcPr>
          <w:p w14:paraId="464D2714" w14:textId="202DA40E"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 xml:space="preserve">Petrenco Și Alții </w:t>
            </w:r>
            <w:r w:rsidR="00440602" w:rsidRPr="00074757">
              <w:rPr>
                <w:rFonts w:ascii="Times New Roman" w:hAnsi="Times New Roman" w:cs="Times New Roman"/>
                <w:sz w:val="24"/>
                <w:szCs w:val="24"/>
                <w:lang w:val="ro-RO"/>
              </w:rPr>
              <w:t>v</w:t>
            </w:r>
            <w:r w:rsidRPr="00074757">
              <w:rPr>
                <w:rFonts w:ascii="Times New Roman" w:hAnsi="Times New Roman" w:cs="Times New Roman"/>
                <w:sz w:val="24"/>
                <w:szCs w:val="24"/>
                <w:lang w:val="ro-RO"/>
              </w:rPr>
              <w:t xml:space="preserve">. Republica Moldova no. </w:t>
            </w:r>
            <w:r w:rsidRPr="00074757">
              <w:rPr>
                <w:rStyle w:val="textcolumn"/>
                <w:rFonts w:ascii="Times New Roman" w:hAnsi="Times New Roman" w:cs="Times New Roman"/>
                <w:sz w:val="24"/>
                <w:szCs w:val="24"/>
                <w:lang w:val="ro-RO"/>
              </w:rPr>
              <w:t xml:space="preserve">6345/16 </w:t>
            </w:r>
            <w:r w:rsidR="006956DD" w:rsidRPr="00074757">
              <w:rPr>
                <w:rStyle w:val="textcolumn"/>
                <w:rFonts w:ascii="Times New Roman" w:hAnsi="Times New Roman" w:cs="Times New Roman"/>
                <w:sz w:val="24"/>
                <w:szCs w:val="24"/>
                <w:lang w:val="ro-RO"/>
              </w:rPr>
              <w:t>et al</w:t>
            </w:r>
            <w:r w:rsidRPr="00074757">
              <w:rPr>
                <w:rStyle w:val="textcolumn"/>
                <w:rFonts w:ascii="Times New Roman" w:hAnsi="Times New Roman" w:cs="Times New Roman"/>
                <w:sz w:val="24"/>
                <w:szCs w:val="24"/>
                <w:lang w:val="ro-RO"/>
              </w:rPr>
              <w:t xml:space="preserve">, hotărârea din </w:t>
            </w:r>
            <w:r w:rsidRPr="00074757">
              <w:rPr>
                <w:rFonts w:ascii="Times New Roman" w:hAnsi="Times New Roman" w:cs="Times New Roman"/>
                <w:sz w:val="24"/>
                <w:szCs w:val="24"/>
                <w:lang w:val="ro-RO"/>
              </w:rPr>
              <w:t>14/09/2021,</w:t>
            </w:r>
          </w:p>
        </w:tc>
        <w:tc>
          <w:tcPr>
            <w:tcW w:w="1417" w:type="dxa"/>
          </w:tcPr>
          <w:p w14:paraId="12337BBE" w14:textId="1FCA4CA6"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Dreptul la libertate și siguranță</w:t>
            </w:r>
            <w:r w:rsidR="00641AB7">
              <w:rPr>
                <w:rFonts w:ascii="Times New Roman" w:hAnsi="Times New Roman" w:cs="Times New Roman"/>
                <w:sz w:val="24"/>
                <w:szCs w:val="24"/>
                <w:lang w:val="ro-RO"/>
              </w:rPr>
              <w:t>,</w:t>
            </w:r>
          </w:p>
          <w:p w14:paraId="5C1ED07C" w14:textId="2EA1182B"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Arestarea sau detenția legală</w:t>
            </w:r>
            <w:r w:rsidR="000A6D4F">
              <w:rPr>
                <w:rFonts w:ascii="Times New Roman" w:hAnsi="Times New Roman" w:cs="Times New Roman"/>
                <w:sz w:val="24"/>
                <w:szCs w:val="24"/>
                <w:lang w:val="ro-RO"/>
              </w:rPr>
              <w:t>,</w:t>
            </w:r>
          </w:p>
          <w:p w14:paraId="2531022F" w14:textId="7528EEED"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Libertatea de întrunire și de asociere</w:t>
            </w:r>
            <w:r w:rsidR="000A6D4F">
              <w:rPr>
                <w:rFonts w:ascii="Times New Roman" w:hAnsi="Times New Roman" w:cs="Times New Roman"/>
                <w:sz w:val="24"/>
                <w:szCs w:val="24"/>
                <w:lang w:val="ro-RO"/>
              </w:rPr>
              <w:t>,</w:t>
            </w:r>
          </w:p>
          <w:p w14:paraId="0A255FF8" w14:textId="3E62FAFA"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Libertatea de întrunire pașnică</w:t>
            </w:r>
            <w:r w:rsidR="000A6D4F">
              <w:rPr>
                <w:rFonts w:ascii="Times New Roman" w:hAnsi="Times New Roman" w:cs="Times New Roman"/>
                <w:sz w:val="24"/>
                <w:szCs w:val="24"/>
                <w:lang w:val="ro-RO"/>
              </w:rPr>
              <w:t>.</w:t>
            </w:r>
          </w:p>
        </w:tc>
        <w:tc>
          <w:tcPr>
            <w:tcW w:w="6582" w:type="dxa"/>
          </w:tcPr>
          <w:p w14:paraId="5FB7D579" w14:textId="77777777"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Toți reclamanții, cu excepția primului, s-au plâns de faptul că interdicția de a participa la adunări publice care le-a fost aplicată la 26 aprilie 2016 ca măsură de siguranță a constituit o încălcare a dreptului lor la libertatea de întrunire, astfel cum este garantat de articolul 11 din Convenție</w:t>
            </w:r>
          </w:p>
          <w:p w14:paraId="6B504862" w14:textId="77777777"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Este de necontestat între părți, iar Curtea este de acord, că interdicția impusă reclamanților de a participa la întruniri publice a reprezentat o „ingerință din partea [unei] autorități publice” în dreptul reclamanților la libertatea de întrunire în temeiul articolului 11 primul paragraf. O astfel de ingerință va implica o încălcare a articolului 11, cu excepția cazului în care este „prevăzută de lege”, are un scop sau scopuri legitime în temeiul alineatului (2) al aceluiași articol și este „necesară într-o societate democratică” pentru atingerea acestui scop sau acestor scopuri.</w:t>
            </w:r>
          </w:p>
          <w:p w14:paraId="01F5C0A8" w14:textId="77777777" w:rsidR="007D6568" w:rsidRPr="00074757" w:rsidRDefault="007D6568" w:rsidP="00074757">
            <w:pPr>
              <w:widowControl w:val="0"/>
              <w:jc w:val="both"/>
              <w:rPr>
                <w:rFonts w:ascii="Times New Roman" w:hAnsi="Times New Roman" w:cs="Times New Roman"/>
                <w:sz w:val="24"/>
                <w:szCs w:val="24"/>
                <w:lang w:val="ro-RO"/>
              </w:rPr>
            </w:pPr>
          </w:p>
          <w:p w14:paraId="4BEC939E" w14:textId="77777777"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45.  În ceea ce privește legalitatea ingerinței menționate mai sus, niciun element din prezenta cauză nu permite Curții să considere că a existat un temei legal pentru limitarea dreptului reclamanților la libertatea de întrunire. Într-adevăr, articolul 191 din Codul de procedură penală (a se vedea paragraful 23 de mai sus) nu prevede o astfel de măsură de garanție, iar Guvernul nu a indicat nicio altă dispoziție legală internă care ar permite ca o astfel de măsură să fie impusă unei persoane eliberate în așteptarea procesului. În aceste condiții, Curtea concluzionează că ingerința în cauză nu a fost legală în temeiul dreptului intern. Această concluzie face inutil să se examineze dacă ingerința urmărea un scop legitim și dacă era necesară într-o societate democratică.</w:t>
            </w:r>
          </w:p>
          <w:p w14:paraId="4DE80325" w14:textId="77777777" w:rsidR="007D6568" w:rsidRPr="00074757" w:rsidRDefault="007D6568" w:rsidP="00074757">
            <w:pPr>
              <w:widowControl w:val="0"/>
              <w:jc w:val="both"/>
              <w:rPr>
                <w:rFonts w:ascii="Times New Roman" w:hAnsi="Times New Roman" w:cs="Times New Roman"/>
                <w:sz w:val="24"/>
                <w:szCs w:val="24"/>
                <w:lang w:val="ro-RO"/>
              </w:rPr>
            </w:pPr>
          </w:p>
          <w:p w14:paraId="56DF6151" w14:textId="58CD7EC0"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46.  În consecință, a existat o încălcare a articolului 11 din Convenție.</w:t>
            </w:r>
          </w:p>
        </w:tc>
        <w:tc>
          <w:tcPr>
            <w:tcW w:w="2977" w:type="dxa"/>
          </w:tcPr>
          <w:p w14:paraId="7248EE01" w14:textId="77777777"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Petrenco - 7.500 EUR, moral</w:t>
            </w:r>
          </w:p>
          <w:p w14:paraId="737D13DC" w14:textId="77777777"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Buznea - 7.500 EUR, moral</w:t>
            </w:r>
          </w:p>
          <w:p w14:paraId="40504E28" w14:textId="77777777"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pentru fiecare dintre ceilalți reclamanți – 9750 euro</w:t>
            </w:r>
          </w:p>
          <w:p w14:paraId="52A5516B" w14:textId="2E07C5C6"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4 000 EUR - costuri și cheltuieli</w:t>
            </w:r>
          </w:p>
        </w:tc>
      </w:tr>
      <w:tr w:rsidR="007D6568" w:rsidRPr="00074757" w14:paraId="202AE191" w14:textId="77777777" w:rsidTr="005F10B6">
        <w:tc>
          <w:tcPr>
            <w:tcW w:w="1227" w:type="dxa"/>
          </w:tcPr>
          <w:p w14:paraId="1D4D507B" w14:textId="203C0F14"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11</w:t>
            </w:r>
          </w:p>
        </w:tc>
        <w:tc>
          <w:tcPr>
            <w:tcW w:w="1203" w:type="dxa"/>
          </w:tcPr>
          <w:p w14:paraId="3A154D95" w14:textId="76F38E29"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Libertatea de întrunire</w:t>
            </w:r>
          </w:p>
        </w:tc>
        <w:tc>
          <w:tcPr>
            <w:tcW w:w="1506" w:type="dxa"/>
          </w:tcPr>
          <w:p w14:paraId="778DC264" w14:textId="269857E9"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 xml:space="preserve">A.O. Falun Dafa Și Alții </w:t>
            </w:r>
            <w:r w:rsidR="00440602" w:rsidRPr="00074757">
              <w:rPr>
                <w:rFonts w:ascii="Times New Roman" w:hAnsi="Times New Roman" w:cs="Times New Roman"/>
                <w:sz w:val="24"/>
                <w:szCs w:val="24"/>
                <w:lang w:val="ro-RO"/>
              </w:rPr>
              <w:t>v</w:t>
            </w:r>
            <w:r w:rsidRPr="00074757">
              <w:rPr>
                <w:rFonts w:ascii="Times New Roman" w:hAnsi="Times New Roman" w:cs="Times New Roman"/>
                <w:sz w:val="24"/>
                <w:szCs w:val="24"/>
                <w:lang w:val="ro-RO"/>
              </w:rPr>
              <w:t xml:space="preserve">. Republica Moldova, no. 29458/15, hotărârea din </w:t>
            </w:r>
          </w:p>
          <w:p w14:paraId="5E4E313B" w14:textId="7FDDA23E"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29/06/2021</w:t>
            </w:r>
          </w:p>
        </w:tc>
        <w:tc>
          <w:tcPr>
            <w:tcW w:w="1417" w:type="dxa"/>
          </w:tcPr>
          <w:p w14:paraId="5050FB50" w14:textId="76430C7A"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Libertatea gândirii, conștiinței și religiei</w:t>
            </w:r>
            <w:r w:rsidR="000A6D4F">
              <w:rPr>
                <w:rFonts w:ascii="Times New Roman" w:hAnsi="Times New Roman" w:cs="Times New Roman"/>
                <w:sz w:val="24"/>
                <w:szCs w:val="24"/>
                <w:lang w:val="ro-RO"/>
              </w:rPr>
              <w:t>,</w:t>
            </w:r>
          </w:p>
          <w:p w14:paraId="4DC617F5" w14:textId="6F306B8F"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Religie sau credință manifestă</w:t>
            </w:r>
            <w:r w:rsidR="000A6D4F">
              <w:rPr>
                <w:rFonts w:ascii="Times New Roman" w:hAnsi="Times New Roman" w:cs="Times New Roman"/>
                <w:sz w:val="24"/>
                <w:szCs w:val="24"/>
                <w:lang w:val="ro-RO"/>
              </w:rPr>
              <w:t>,</w:t>
            </w:r>
          </w:p>
          <w:p w14:paraId="4392016C" w14:textId="68CE1914"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lastRenderedPageBreak/>
              <w:t>Libertatea de întrunire și asociere</w:t>
            </w:r>
            <w:r w:rsidR="000A6D4F">
              <w:rPr>
                <w:rFonts w:ascii="Times New Roman" w:hAnsi="Times New Roman" w:cs="Times New Roman"/>
                <w:sz w:val="24"/>
                <w:szCs w:val="24"/>
                <w:lang w:val="ro-RO"/>
              </w:rPr>
              <w:t>,</w:t>
            </w:r>
          </w:p>
          <w:p w14:paraId="02ACE89E" w14:textId="45A4F4A0"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Libertatea de asociere</w:t>
            </w:r>
            <w:r w:rsidR="000A6D4F">
              <w:rPr>
                <w:rFonts w:ascii="Times New Roman" w:hAnsi="Times New Roman" w:cs="Times New Roman"/>
                <w:sz w:val="24"/>
                <w:szCs w:val="24"/>
                <w:lang w:val="ro-RO"/>
              </w:rPr>
              <w:t>.</w:t>
            </w:r>
          </w:p>
        </w:tc>
        <w:tc>
          <w:tcPr>
            <w:tcW w:w="6582" w:type="dxa"/>
          </w:tcPr>
          <w:p w14:paraId="210B778E" w14:textId="77777777"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lastRenderedPageBreak/>
              <w:t>18. Reclamanții au susținut că drepturile lor garantate de articolele 9 și 11 din Convenție au fost încălcate ca urmare a interzicerii simbolului lor și a dizolvării organizațiilor reclamante.</w:t>
            </w:r>
          </w:p>
          <w:p w14:paraId="4FF6505C" w14:textId="77777777" w:rsidR="007D6568" w:rsidRPr="00074757" w:rsidRDefault="007D6568" w:rsidP="00074757">
            <w:pPr>
              <w:widowControl w:val="0"/>
              <w:jc w:val="both"/>
              <w:rPr>
                <w:rFonts w:ascii="Times New Roman" w:hAnsi="Times New Roman" w:cs="Times New Roman"/>
                <w:sz w:val="24"/>
                <w:szCs w:val="24"/>
                <w:lang w:val="ro-RO"/>
              </w:rPr>
            </w:pPr>
          </w:p>
          <w:p w14:paraId="3775C818" w14:textId="2E28A887"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 xml:space="preserve">20. Guvernul este de acord că reclamanții au suferit o încălcare a drepturilor lor în temeiul articolelor 9 și 11 din Convenție. Recunoașterea lor se bazează pe constatarea încălcărilor de către </w:t>
            </w:r>
            <w:r w:rsidRPr="00074757">
              <w:rPr>
                <w:rFonts w:ascii="Times New Roman" w:hAnsi="Times New Roman" w:cs="Times New Roman"/>
                <w:sz w:val="24"/>
                <w:szCs w:val="24"/>
                <w:lang w:val="ro-RO"/>
              </w:rPr>
              <w:lastRenderedPageBreak/>
              <w:t xml:space="preserve">Curtea Supremă </w:t>
            </w:r>
            <w:r w:rsidRPr="00074757">
              <w:rPr>
                <w:rFonts w:ascii="Times New Roman" w:hAnsi="Times New Roman" w:cs="Times New Roman"/>
                <w:sz w:val="24"/>
                <w:szCs w:val="24"/>
                <w:lang w:val="en-IN"/>
              </w:rPr>
              <w:t>[…]</w:t>
            </w:r>
            <w:r w:rsidRPr="00074757">
              <w:rPr>
                <w:rFonts w:ascii="Times New Roman" w:hAnsi="Times New Roman" w:cs="Times New Roman"/>
                <w:sz w:val="24"/>
                <w:szCs w:val="24"/>
                <w:lang w:val="ro-RO"/>
              </w:rPr>
              <w:t>. Având în vedere propria jurisprudență (a se vedea, în special, Vajnai împotriva Ungariei, nr. 33629/06, CEDO 2008; Association Rhino și alții împotriva Elveției, nr. 48848/07, 11 octombrie 2011 și Adana TAYAD vs. Turcia, nr. 59835/10, 21 iulie 2020) Curtea nu vede niciun motiv se îndepărtează de concluzia Curții Supreme de Justiție și nu consideră necesară reexaminarea fondului acestor plângeri.</w:t>
            </w:r>
          </w:p>
          <w:p w14:paraId="3C89FF0F" w14:textId="77777777" w:rsidR="007D6568" w:rsidRPr="00074757" w:rsidRDefault="007D6568" w:rsidP="00074757">
            <w:pPr>
              <w:widowControl w:val="0"/>
              <w:jc w:val="both"/>
              <w:rPr>
                <w:rFonts w:ascii="Times New Roman" w:hAnsi="Times New Roman" w:cs="Times New Roman"/>
                <w:sz w:val="24"/>
                <w:szCs w:val="24"/>
                <w:lang w:val="ro-RO"/>
              </w:rPr>
            </w:pPr>
          </w:p>
          <w:p w14:paraId="3E64AA60" w14:textId="150AC116"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21. Având în vedere faptul că Curtea Supremă nu a acordat nicio despăgubire reclamanților și că Guvernul nu a respectat în totalitate hotărârile Curții Supreme până în prezent (a se vedea paragraful 16 de mai sus), Curtea constată că a existat o încălcare a articolelor 9. și 11 din Convenție, care rezultă din interzicerea simbolului organizațiilor reclamante și dizolvarea acestora.</w:t>
            </w:r>
          </w:p>
        </w:tc>
        <w:tc>
          <w:tcPr>
            <w:tcW w:w="2977" w:type="dxa"/>
          </w:tcPr>
          <w:p w14:paraId="6F6492EC" w14:textId="4AD030B3"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lastRenderedPageBreak/>
              <w:t>4.500 EUR – moral</w:t>
            </w:r>
          </w:p>
          <w:p w14:paraId="36E8E877" w14:textId="73E55420"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1.500 EUR - costuri și cheltuieli</w:t>
            </w:r>
          </w:p>
        </w:tc>
      </w:tr>
      <w:tr w:rsidR="007D6568" w:rsidRPr="00074757" w14:paraId="2CA3B6D8" w14:textId="77777777" w:rsidTr="005F10B6">
        <w:tc>
          <w:tcPr>
            <w:tcW w:w="1227" w:type="dxa"/>
          </w:tcPr>
          <w:p w14:paraId="281C4454" w14:textId="193D158A"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11</w:t>
            </w:r>
          </w:p>
        </w:tc>
        <w:tc>
          <w:tcPr>
            <w:tcW w:w="1203" w:type="dxa"/>
          </w:tcPr>
          <w:p w14:paraId="5F761D62" w14:textId="05321ABE"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Libertatea de întrunire</w:t>
            </w:r>
          </w:p>
        </w:tc>
        <w:tc>
          <w:tcPr>
            <w:tcW w:w="1506" w:type="dxa"/>
          </w:tcPr>
          <w:p w14:paraId="45080492" w14:textId="594749BD"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Dianova Şi Alţi</w:t>
            </w:r>
            <w:r w:rsidR="00D34F6D" w:rsidRPr="00074757">
              <w:rPr>
                <w:rFonts w:ascii="Times New Roman" w:hAnsi="Times New Roman" w:cs="Times New Roman"/>
                <w:sz w:val="24"/>
                <w:szCs w:val="24"/>
                <w:lang w:val="ro-RO"/>
              </w:rPr>
              <w:t>i</w:t>
            </w:r>
            <w:r w:rsidRPr="00074757">
              <w:rPr>
                <w:rFonts w:ascii="Times New Roman" w:hAnsi="Times New Roman" w:cs="Times New Roman"/>
                <w:sz w:val="24"/>
                <w:szCs w:val="24"/>
                <w:lang w:val="ro-RO"/>
              </w:rPr>
              <w:t xml:space="preserve"> </w:t>
            </w:r>
            <w:r w:rsidR="00D34F6D" w:rsidRPr="00074757">
              <w:rPr>
                <w:rFonts w:ascii="Times New Roman" w:hAnsi="Times New Roman" w:cs="Times New Roman"/>
                <w:sz w:val="24"/>
                <w:szCs w:val="24"/>
                <w:lang w:val="ro-RO"/>
              </w:rPr>
              <w:t>v</w:t>
            </w:r>
            <w:r w:rsidRPr="00074757">
              <w:rPr>
                <w:rFonts w:ascii="Times New Roman" w:hAnsi="Times New Roman" w:cs="Times New Roman"/>
                <w:sz w:val="24"/>
                <w:szCs w:val="24"/>
                <w:lang w:val="ro-RO"/>
              </w:rPr>
              <w:t xml:space="preserve">. Rusia, no. </w:t>
            </w:r>
            <w:r w:rsidRPr="00074757">
              <w:rPr>
                <w:rStyle w:val="textcolumn"/>
                <w:rFonts w:ascii="Times New Roman" w:hAnsi="Times New Roman" w:cs="Times New Roman"/>
                <w:sz w:val="24"/>
                <w:szCs w:val="24"/>
              </w:rPr>
              <w:t xml:space="preserve">21286/15 </w:t>
            </w:r>
            <w:r w:rsidR="00A368CA" w:rsidRPr="00074757">
              <w:rPr>
                <w:rStyle w:val="textcolumn"/>
                <w:rFonts w:ascii="Times New Roman" w:hAnsi="Times New Roman" w:cs="Times New Roman"/>
                <w:sz w:val="24"/>
                <w:szCs w:val="24"/>
              </w:rPr>
              <w:t>et al</w:t>
            </w:r>
            <w:r w:rsidRPr="00074757">
              <w:rPr>
                <w:rStyle w:val="textcolumn"/>
                <w:rFonts w:ascii="Times New Roman" w:hAnsi="Times New Roman" w:cs="Times New Roman"/>
                <w:sz w:val="24"/>
                <w:szCs w:val="24"/>
              </w:rPr>
              <w:t xml:space="preserve">, </w:t>
            </w:r>
          </w:p>
          <w:p w14:paraId="515234C2" w14:textId="73120FEF"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Hotărârea din 10/09/2024</w:t>
            </w:r>
          </w:p>
        </w:tc>
        <w:tc>
          <w:tcPr>
            <w:tcW w:w="1417" w:type="dxa"/>
          </w:tcPr>
          <w:p w14:paraId="79D798C0" w14:textId="2F9B3BC5"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Libertatea de întrunire și asociere</w:t>
            </w:r>
            <w:r w:rsidR="000A6D4F">
              <w:rPr>
                <w:rFonts w:ascii="Times New Roman" w:hAnsi="Times New Roman" w:cs="Times New Roman"/>
                <w:sz w:val="24"/>
                <w:szCs w:val="24"/>
                <w:lang w:val="ro-RO"/>
              </w:rPr>
              <w:t>,</w:t>
            </w:r>
          </w:p>
          <w:p w14:paraId="5F0BFBED" w14:textId="74BEF05C" w:rsidR="007D6568" w:rsidRPr="00074757" w:rsidRDefault="000A6D4F" w:rsidP="00074757">
            <w:pPr>
              <w:widowControl w:val="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7D6568" w:rsidRPr="00074757">
              <w:rPr>
                <w:rFonts w:ascii="Times New Roman" w:hAnsi="Times New Roman" w:cs="Times New Roman"/>
                <w:sz w:val="24"/>
                <w:szCs w:val="24"/>
                <w:lang w:val="ro-RO"/>
              </w:rPr>
              <w:t>Libertatea de întrunire pașnică</w:t>
            </w:r>
            <w:r>
              <w:rPr>
                <w:rFonts w:ascii="Times New Roman" w:hAnsi="Times New Roman" w:cs="Times New Roman"/>
                <w:sz w:val="24"/>
                <w:szCs w:val="24"/>
                <w:lang w:val="ro-RO"/>
              </w:rPr>
              <w:t>,</w:t>
            </w:r>
          </w:p>
          <w:p w14:paraId="69CCAECD" w14:textId="0AFB0729" w:rsidR="007D6568" w:rsidRPr="00074757" w:rsidRDefault="000A6D4F" w:rsidP="00074757">
            <w:pPr>
              <w:widowControl w:val="0"/>
              <w:jc w:val="both"/>
              <w:rPr>
                <w:rFonts w:ascii="Times New Roman" w:hAnsi="Times New Roman" w:cs="Times New Roman"/>
                <w:sz w:val="24"/>
                <w:szCs w:val="24"/>
                <w:lang w:val="ro-RO"/>
              </w:rPr>
            </w:pPr>
            <w:r>
              <w:rPr>
                <w:rFonts w:ascii="Times New Roman" w:hAnsi="Times New Roman" w:cs="Times New Roman"/>
                <w:sz w:val="24"/>
                <w:szCs w:val="24"/>
                <w:lang w:val="ro-RO"/>
              </w:rPr>
              <w:t>Ingerință n</w:t>
            </w:r>
            <w:r w:rsidR="007D6568" w:rsidRPr="00074757">
              <w:rPr>
                <w:rFonts w:ascii="Times New Roman" w:hAnsi="Times New Roman" w:cs="Times New Roman"/>
                <w:sz w:val="24"/>
                <w:szCs w:val="24"/>
                <w:lang w:val="ro-RO"/>
              </w:rPr>
              <w:t>ecesar într-o societate democratică</w:t>
            </w:r>
            <w:r>
              <w:rPr>
                <w:rFonts w:ascii="Times New Roman" w:hAnsi="Times New Roman" w:cs="Times New Roman"/>
                <w:sz w:val="24"/>
                <w:szCs w:val="24"/>
                <w:lang w:val="ro-RO"/>
              </w:rPr>
              <w:t xml:space="preserve">, Ingerință </w:t>
            </w:r>
          </w:p>
          <w:p w14:paraId="082AE686" w14:textId="366C4475" w:rsidR="007D6568" w:rsidRPr="00074757" w:rsidRDefault="000A6D4F" w:rsidP="000A6D4F">
            <w:pPr>
              <w:widowControl w:val="0"/>
              <w:jc w:val="both"/>
              <w:rPr>
                <w:rFonts w:ascii="Times New Roman" w:hAnsi="Times New Roman" w:cs="Times New Roman"/>
                <w:sz w:val="24"/>
                <w:szCs w:val="24"/>
                <w:lang w:val="ro-RO"/>
              </w:rPr>
            </w:pPr>
            <w:r>
              <w:rPr>
                <w:rFonts w:ascii="Times New Roman" w:hAnsi="Times New Roman" w:cs="Times New Roman"/>
                <w:sz w:val="24"/>
                <w:szCs w:val="24"/>
                <w:lang w:val="ro-RO"/>
              </w:rPr>
              <w:t>p</w:t>
            </w:r>
            <w:r w:rsidR="007D6568" w:rsidRPr="00074757">
              <w:rPr>
                <w:rFonts w:ascii="Times New Roman" w:hAnsi="Times New Roman" w:cs="Times New Roman"/>
                <w:sz w:val="24"/>
                <w:szCs w:val="24"/>
                <w:lang w:val="ro-RO"/>
              </w:rPr>
              <w:t>revazut</w:t>
            </w:r>
            <w:r>
              <w:rPr>
                <w:rFonts w:ascii="Times New Roman" w:hAnsi="Times New Roman" w:cs="Times New Roman"/>
                <w:sz w:val="24"/>
                <w:szCs w:val="24"/>
                <w:lang w:val="ro-RO"/>
              </w:rPr>
              <w:t>ă</w:t>
            </w:r>
            <w:r w:rsidR="007D6568" w:rsidRPr="00074757">
              <w:rPr>
                <w:rFonts w:ascii="Times New Roman" w:hAnsi="Times New Roman" w:cs="Times New Roman"/>
                <w:sz w:val="24"/>
                <w:szCs w:val="24"/>
                <w:lang w:val="ro-RO"/>
              </w:rPr>
              <w:t xml:space="preserve"> de lege</w:t>
            </w:r>
            <w:r>
              <w:rPr>
                <w:rFonts w:ascii="Times New Roman" w:hAnsi="Times New Roman" w:cs="Times New Roman"/>
                <w:sz w:val="24"/>
                <w:szCs w:val="24"/>
                <w:lang w:val="ro-RO"/>
              </w:rPr>
              <w:t xml:space="preserve">, </w:t>
            </w:r>
            <w:r w:rsidR="007D6568" w:rsidRPr="00074757">
              <w:rPr>
                <w:rFonts w:ascii="Times New Roman" w:hAnsi="Times New Roman" w:cs="Times New Roman"/>
                <w:sz w:val="24"/>
                <w:szCs w:val="24"/>
                <w:lang w:val="ro-RO"/>
              </w:rPr>
              <w:t>Previzibilitate</w:t>
            </w:r>
            <w:r>
              <w:rPr>
                <w:rFonts w:ascii="Times New Roman" w:hAnsi="Times New Roman" w:cs="Times New Roman"/>
                <w:sz w:val="24"/>
                <w:szCs w:val="24"/>
                <w:lang w:val="ro-RO"/>
              </w:rPr>
              <w:t>.</w:t>
            </w:r>
          </w:p>
        </w:tc>
        <w:tc>
          <w:tcPr>
            <w:tcW w:w="6582" w:type="dxa"/>
          </w:tcPr>
          <w:p w14:paraId="5E951FD5" w14:textId="4035B6A1"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Curtea a subliniat că libertatea de întrunire prevăzută la articolul 11 este strâns legată de libertatea de exprimare garantată de articolul 10, întrucât protecția opiniilor personale, asigurată de acesta din urmă, este unul dintre obiectivele libertății de întrunire pașnică, deoarece consacrat în articolul 11. Articolul 10 trebuie considerat ca o lex generalis în raport cu articolul 11, care este o lex specialis. Unul dintre criteriile distinctive remarcate de Curte este că, în exercitarea dreptului la libertatea de întrunire, participanții ar căuta nu numai să-și exprime opinia, ci și să facă acest lucru împreună cu alții (a se vedea Navalnyy împotriva Rusiei [GC], nr. 29580/12 și alții 4, § 101, 15 noiembrie 2018).</w:t>
            </w:r>
          </w:p>
          <w:p w14:paraId="1EBF794A" w14:textId="77777777" w:rsidR="007D6568" w:rsidRPr="00074757" w:rsidRDefault="007D6568" w:rsidP="00074757">
            <w:pPr>
              <w:widowControl w:val="0"/>
              <w:jc w:val="both"/>
              <w:rPr>
                <w:rFonts w:ascii="Times New Roman" w:hAnsi="Times New Roman" w:cs="Times New Roman"/>
                <w:sz w:val="24"/>
                <w:szCs w:val="24"/>
                <w:lang w:val="ro-RO"/>
              </w:rPr>
            </w:pPr>
          </w:p>
          <w:p w14:paraId="17A3440E" w14:textId="77777777"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Nu se contestă faptul că acțiunile polițiștilor de a pune capăt grevei foamei a doamnei Dianova și sancțiunile administrative care au urmat au constituit o ingerință în dreptul acesteia la libertatea de întrunire pașnică. Rămâne de stabilit dacă ingerința a fost „prevăzută de lege”, a urmărit unul sau mai multe scopuri legitime în temeiul paragrafului 2 al articolului 11 și a fost „necesară într-o societate democratică” pentru atingerea scopului sau a scopurilor în cauză (vezi Kudrevičius și alții, citați mai sus, § 102).</w:t>
            </w:r>
          </w:p>
          <w:p w14:paraId="7925C3D7" w14:textId="77777777" w:rsidR="007D6568" w:rsidRPr="00074757" w:rsidRDefault="007D6568" w:rsidP="00074757">
            <w:pPr>
              <w:widowControl w:val="0"/>
              <w:jc w:val="both"/>
              <w:rPr>
                <w:rFonts w:ascii="Times New Roman" w:hAnsi="Times New Roman" w:cs="Times New Roman"/>
                <w:sz w:val="24"/>
                <w:szCs w:val="24"/>
                <w:lang w:val="ro-RO"/>
              </w:rPr>
            </w:pPr>
          </w:p>
          <w:p w14:paraId="2B56B3C3" w14:textId="33FFE3E6"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 xml:space="preserve">Având în vedere cele de mai sus, Curtea are îndoieli serioase că modalitatea de aplicare a Legii privind evenimentele publice în cazul doamnei Dianova a fost suficient de previzibilă pentru a </w:t>
            </w:r>
            <w:r w:rsidRPr="00074757">
              <w:rPr>
                <w:rFonts w:ascii="Times New Roman" w:hAnsi="Times New Roman" w:cs="Times New Roman"/>
                <w:sz w:val="24"/>
                <w:szCs w:val="24"/>
                <w:lang w:val="ro-RO"/>
              </w:rPr>
              <w:lastRenderedPageBreak/>
              <w:t>îndeplini cerința „legalității” din articolul 11 § 2 din Convenție. Aplicarea categorică și formalistă a cadrului legal privind „demonstrațiile statice” la forme de protest precum greva foamei, împreună cu ambiguitatea din jurul clasificării evenimentelor publice, ridică îngrijorări cu privire la calitatea legii.</w:t>
            </w:r>
          </w:p>
          <w:p w14:paraId="19886242" w14:textId="77777777" w:rsidR="007D6568" w:rsidRPr="00074757" w:rsidRDefault="007D6568" w:rsidP="00074757">
            <w:pPr>
              <w:widowControl w:val="0"/>
              <w:jc w:val="both"/>
              <w:rPr>
                <w:rFonts w:ascii="Times New Roman" w:hAnsi="Times New Roman" w:cs="Times New Roman"/>
                <w:sz w:val="24"/>
                <w:szCs w:val="24"/>
                <w:lang w:val="ro-RO"/>
              </w:rPr>
            </w:pPr>
          </w:p>
          <w:p w14:paraId="29D82209" w14:textId="6712C155"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Cu toate acestea, având în vedere că apare o problemă mai evidentă cu privire la necesitatea ingerinței, Curtea nu își va limita examinarea în temeiul articolului 11 în prezenta cauză doar la legalitatea ingerinței (a se vedea, pentru o abordare similară, Kakabadze și alții c. Georgia, nr. 1484/07, § 86, 2 octombrie 2012, și Navalnyy, citată mai sus, § 119). Curtea va examina, de asemenea, dacă libertatea de apreciere de care se bucurau autoritățile în acest domeniu a fost însoțită de garanții adecvate împotriva ingerințelor arbitrare.</w:t>
            </w:r>
          </w:p>
          <w:p w14:paraId="216946A5" w14:textId="77777777" w:rsidR="007D6568" w:rsidRPr="00074757" w:rsidRDefault="007D6568" w:rsidP="00074757">
            <w:pPr>
              <w:widowControl w:val="0"/>
              <w:jc w:val="both"/>
              <w:rPr>
                <w:rFonts w:ascii="Times New Roman" w:hAnsi="Times New Roman" w:cs="Times New Roman"/>
                <w:sz w:val="24"/>
                <w:szCs w:val="24"/>
                <w:lang w:val="ro-RO"/>
              </w:rPr>
            </w:pPr>
          </w:p>
          <w:p w14:paraId="70DA5CAC" w14:textId="7CD9199F"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Curtea constată că motivele invocate de Guvern pentru încetarea grevei foamei și condamnarea doamnei Dianova nu corespundeau unei nevoi sociale stringente și nu au fost suficiente pentru a justifica măsurile contestate ca fiind „necesare într-o societate democratică. ”. În consecință, Curtea constată că a existat o încălcare a articolului 11 din Convenție în ceea ce privește doamna Dianova.</w:t>
            </w:r>
          </w:p>
        </w:tc>
        <w:tc>
          <w:tcPr>
            <w:tcW w:w="2977" w:type="dxa"/>
          </w:tcPr>
          <w:p w14:paraId="5F017744" w14:textId="3F0EA7C4"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lastRenderedPageBreak/>
              <w:t>190 EUR Dianova prejudiciul material;</w:t>
            </w:r>
          </w:p>
          <w:p w14:paraId="57AC8CBF" w14:textId="7BAA31D6"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 xml:space="preserve">(ii) prejudiciul moral, </w:t>
            </w:r>
          </w:p>
          <w:p w14:paraId="5347F1D2" w14:textId="4B46C6BE"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- 7.500 EUR  Dianova;</w:t>
            </w:r>
          </w:p>
          <w:p w14:paraId="0A14F336" w14:textId="02079C66"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- 9 750 EUR Sheveleva, Mikhaylov, Roslovtsev și Zenyakina fiecare;</w:t>
            </w:r>
          </w:p>
          <w:p w14:paraId="3EFE5596" w14:textId="75B101C2" w:rsidR="007D6568" w:rsidRPr="00074757" w:rsidRDefault="007D6568" w:rsidP="00074757">
            <w:pPr>
              <w:widowControl w:val="0"/>
              <w:jc w:val="both"/>
              <w:rPr>
                <w:rFonts w:ascii="Times New Roman" w:hAnsi="Times New Roman" w:cs="Times New Roman"/>
                <w:sz w:val="24"/>
                <w:szCs w:val="24"/>
                <w:lang w:val="ro-RO"/>
              </w:rPr>
            </w:pPr>
          </w:p>
          <w:p w14:paraId="3E263688" w14:textId="197AC7CC"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- 2.000 EUR către doamna Dianova,</w:t>
            </w:r>
            <w:r w:rsidR="00CE4A47" w:rsidRPr="00074757">
              <w:rPr>
                <w:rFonts w:ascii="Times New Roman" w:hAnsi="Times New Roman" w:cs="Times New Roman"/>
                <w:sz w:val="24"/>
                <w:szCs w:val="24"/>
                <w:lang w:val="ro-RO"/>
              </w:rPr>
              <w:t xml:space="preserve"> costuri și cheltuieli</w:t>
            </w:r>
          </w:p>
          <w:p w14:paraId="5B06CD7B" w14:textId="77777777" w:rsidR="007D6568" w:rsidRPr="00074757" w:rsidRDefault="007D6568" w:rsidP="00074757">
            <w:pPr>
              <w:widowControl w:val="0"/>
              <w:jc w:val="both"/>
              <w:rPr>
                <w:rFonts w:ascii="Times New Roman" w:hAnsi="Times New Roman" w:cs="Times New Roman"/>
                <w:sz w:val="24"/>
                <w:szCs w:val="24"/>
                <w:lang w:val="ro-RO"/>
              </w:rPr>
            </w:pPr>
          </w:p>
          <w:p w14:paraId="2F05CBDD" w14:textId="5372E300"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- 2.000 EUR în comun doamnei Sheveleva, domnului Mikhaylov, domnului Roslovtsev și doamnei Zenyakina</w:t>
            </w:r>
          </w:p>
          <w:p w14:paraId="0C6AB182" w14:textId="77777777" w:rsidR="007D6568" w:rsidRPr="00074757" w:rsidRDefault="007D6568" w:rsidP="00074757">
            <w:pPr>
              <w:widowControl w:val="0"/>
              <w:jc w:val="both"/>
              <w:rPr>
                <w:rFonts w:ascii="Times New Roman" w:hAnsi="Times New Roman" w:cs="Times New Roman"/>
                <w:sz w:val="24"/>
                <w:szCs w:val="24"/>
                <w:lang w:val="ro-RO"/>
              </w:rPr>
            </w:pPr>
          </w:p>
          <w:p w14:paraId="042222F5" w14:textId="797B6464" w:rsidR="007D6568" w:rsidRPr="00074757" w:rsidRDefault="007D6568" w:rsidP="00074757">
            <w:pPr>
              <w:widowControl w:val="0"/>
              <w:jc w:val="both"/>
              <w:rPr>
                <w:rFonts w:ascii="Times New Roman" w:hAnsi="Times New Roman" w:cs="Times New Roman"/>
                <w:sz w:val="24"/>
                <w:szCs w:val="24"/>
                <w:lang w:val="ro-RO"/>
              </w:rPr>
            </w:pPr>
          </w:p>
        </w:tc>
      </w:tr>
      <w:tr w:rsidR="007D6568" w:rsidRPr="00074757" w14:paraId="1088BE94" w14:textId="77777777" w:rsidTr="005F10B6">
        <w:tc>
          <w:tcPr>
            <w:tcW w:w="1227" w:type="dxa"/>
          </w:tcPr>
          <w:p w14:paraId="1FAA4BE5" w14:textId="06D8ED6C"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11</w:t>
            </w:r>
          </w:p>
        </w:tc>
        <w:tc>
          <w:tcPr>
            <w:tcW w:w="1203" w:type="dxa"/>
          </w:tcPr>
          <w:p w14:paraId="632E5858" w14:textId="0E352C22"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Libertatea de asociere</w:t>
            </w:r>
          </w:p>
        </w:tc>
        <w:tc>
          <w:tcPr>
            <w:tcW w:w="1506" w:type="dxa"/>
          </w:tcPr>
          <w:p w14:paraId="511EB5FA" w14:textId="43420CAE"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 xml:space="preserve">Asociația A Oamenilor De Naționalitate Sileziană (În Lichidare) </w:t>
            </w:r>
            <w:r w:rsidR="00031F45" w:rsidRPr="00074757">
              <w:rPr>
                <w:rFonts w:ascii="Times New Roman" w:hAnsi="Times New Roman" w:cs="Times New Roman"/>
                <w:sz w:val="24"/>
                <w:szCs w:val="24"/>
                <w:lang w:val="ro-RO"/>
              </w:rPr>
              <w:t>v</w:t>
            </w:r>
            <w:r w:rsidRPr="00074757">
              <w:rPr>
                <w:rFonts w:ascii="Times New Roman" w:hAnsi="Times New Roman" w:cs="Times New Roman"/>
                <w:sz w:val="24"/>
                <w:szCs w:val="24"/>
                <w:lang w:val="ro-RO"/>
              </w:rPr>
              <w:t xml:space="preserve">. Polonia, no. </w:t>
            </w:r>
            <w:r w:rsidRPr="00074757">
              <w:rPr>
                <w:rStyle w:val="column"/>
                <w:rFonts w:ascii="Times New Roman" w:hAnsi="Times New Roman" w:cs="Times New Roman"/>
                <w:sz w:val="24"/>
                <w:szCs w:val="24"/>
              </w:rPr>
              <w:t xml:space="preserve">26821/17, </w:t>
            </w:r>
          </w:p>
          <w:p w14:paraId="0400251A" w14:textId="4DAF32E1"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Hotărârea din 14/03/2024</w:t>
            </w:r>
          </w:p>
        </w:tc>
        <w:tc>
          <w:tcPr>
            <w:tcW w:w="1417" w:type="dxa"/>
          </w:tcPr>
          <w:p w14:paraId="65C0548B" w14:textId="728B058E"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Libertatea de întrunire și asociere</w:t>
            </w:r>
            <w:r w:rsidR="000A6D4F">
              <w:rPr>
                <w:rFonts w:ascii="Times New Roman" w:hAnsi="Times New Roman" w:cs="Times New Roman"/>
                <w:sz w:val="24"/>
                <w:szCs w:val="24"/>
                <w:lang w:val="ro-RO"/>
              </w:rPr>
              <w:t>,</w:t>
            </w:r>
          </w:p>
          <w:p w14:paraId="4AFCEB1F" w14:textId="401B7E94"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Libertatea de asociere</w:t>
            </w:r>
            <w:r w:rsidR="000A6D4F">
              <w:rPr>
                <w:rFonts w:ascii="Times New Roman" w:hAnsi="Times New Roman" w:cs="Times New Roman"/>
                <w:sz w:val="24"/>
                <w:szCs w:val="24"/>
                <w:lang w:val="ro-RO"/>
              </w:rPr>
              <w:t>,</w:t>
            </w:r>
            <w:r w:rsidR="007021C0">
              <w:rPr>
                <w:rFonts w:ascii="Times New Roman" w:hAnsi="Times New Roman" w:cs="Times New Roman"/>
                <w:sz w:val="24"/>
                <w:szCs w:val="24"/>
                <w:lang w:val="ro-RO"/>
              </w:rPr>
              <w:t xml:space="preserve"> Ingerință n</w:t>
            </w:r>
            <w:r w:rsidRPr="00074757">
              <w:rPr>
                <w:rFonts w:ascii="Times New Roman" w:hAnsi="Times New Roman" w:cs="Times New Roman"/>
                <w:sz w:val="24"/>
                <w:szCs w:val="24"/>
                <w:lang w:val="ro-RO"/>
              </w:rPr>
              <w:t>ecesar</w:t>
            </w:r>
            <w:r w:rsidR="007021C0">
              <w:rPr>
                <w:rFonts w:ascii="Times New Roman" w:hAnsi="Times New Roman" w:cs="Times New Roman"/>
                <w:sz w:val="24"/>
                <w:szCs w:val="24"/>
                <w:lang w:val="ro-RO"/>
              </w:rPr>
              <w:t>ă</w:t>
            </w:r>
            <w:r w:rsidRPr="00074757">
              <w:rPr>
                <w:rFonts w:ascii="Times New Roman" w:hAnsi="Times New Roman" w:cs="Times New Roman"/>
                <w:sz w:val="24"/>
                <w:szCs w:val="24"/>
                <w:lang w:val="ro-RO"/>
              </w:rPr>
              <w:t xml:space="preserve"> într-o societate democratică</w:t>
            </w:r>
            <w:r w:rsidR="007021C0">
              <w:rPr>
                <w:rFonts w:ascii="Times New Roman" w:hAnsi="Times New Roman" w:cs="Times New Roman"/>
                <w:sz w:val="24"/>
                <w:szCs w:val="24"/>
                <w:lang w:val="ro-RO"/>
              </w:rPr>
              <w:t xml:space="preserve">, </w:t>
            </w:r>
            <w:r w:rsidRPr="00074757">
              <w:rPr>
                <w:rFonts w:ascii="Times New Roman" w:hAnsi="Times New Roman" w:cs="Times New Roman"/>
                <w:sz w:val="24"/>
                <w:szCs w:val="24"/>
                <w:lang w:val="ro-RO"/>
              </w:rPr>
              <w:t>Prevenirea tulburării</w:t>
            </w:r>
            <w:r w:rsidR="002127D6">
              <w:rPr>
                <w:rFonts w:ascii="Times New Roman" w:hAnsi="Times New Roman" w:cs="Times New Roman"/>
                <w:sz w:val="24"/>
                <w:szCs w:val="24"/>
                <w:lang w:val="ro-RO"/>
              </w:rPr>
              <w:t xml:space="preserve"> ordinii publice</w:t>
            </w:r>
            <w:r w:rsidR="007021C0">
              <w:rPr>
                <w:rFonts w:ascii="Times New Roman" w:hAnsi="Times New Roman" w:cs="Times New Roman"/>
                <w:sz w:val="24"/>
                <w:szCs w:val="24"/>
                <w:lang w:val="ro-RO"/>
              </w:rPr>
              <w:t xml:space="preserve">, </w:t>
            </w:r>
          </w:p>
          <w:p w14:paraId="43299DE7" w14:textId="0C7E86DA"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 xml:space="preserve">Protecția </w:t>
            </w:r>
            <w:r w:rsidRPr="00074757">
              <w:rPr>
                <w:rFonts w:ascii="Times New Roman" w:hAnsi="Times New Roman" w:cs="Times New Roman"/>
                <w:sz w:val="24"/>
                <w:szCs w:val="24"/>
                <w:lang w:val="ro-RO"/>
              </w:rPr>
              <w:lastRenderedPageBreak/>
              <w:t>drepturilor și libertăților altora</w:t>
            </w:r>
            <w:r w:rsidR="007021C0">
              <w:rPr>
                <w:rFonts w:ascii="Times New Roman" w:hAnsi="Times New Roman" w:cs="Times New Roman"/>
                <w:sz w:val="24"/>
                <w:szCs w:val="24"/>
                <w:lang w:val="ro-RO"/>
              </w:rPr>
              <w:t>.</w:t>
            </w:r>
          </w:p>
        </w:tc>
        <w:tc>
          <w:tcPr>
            <w:tcW w:w="6582" w:type="dxa"/>
          </w:tcPr>
          <w:p w14:paraId="29EB20B4" w14:textId="247E3AD6"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lastRenderedPageBreak/>
              <w:t xml:space="preserve">Dreptul de asociere nu este absolut și trebuie acceptat că atunci când o asociație, prin activitățile sale sau prin intențiile pe care le-a declarat în mod expres sau implicit în programul său, pune în pericol instituțiile statului sau drepturile și libertățile altora, articolul 11 nu privează statul puterii de a proteja acele instituții și persoane. În plus, statutul și programul unei asociații nu pot fi luate în considerare ca unic criteriu pentru determinarea obiectivelor și intențiilor acesteia. Programul unei asociații poate ascunde obiective și intenții diferite de cele pe care le proclamă. Pentru a verifica dacă nu, conținutul programului trebuie comparat cu acțiunile membrilor asociației și cu pozițiile pe care aceștia le apără. Luate împreună, aceste acte și poziții pot fi relevante în procedurile de dizolvare a unei asociații, cu condiția ca, în ansamblu, să dezvăluie scopurile și intențiile acesteia (a se vedea Gorzelik și alții, citat mai sus, § 94, și Refah Partisi (Partidul </w:t>
            </w:r>
            <w:r w:rsidRPr="00074757">
              <w:rPr>
                <w:rFonts w:ascii="Times New Roman" w:hAnsi="Times New Roman" w:cs="Times New Roman"/>
                <w:sz w:val="24"/>
                <w:szCs w:val="24"/>
                <w:lang w:val="ro-RO"/>
              </w:rPr>
              <w:lastRenderedPageBreak/>
              <w:t>Bunăstare) și alții împotriva Turciei [GC], nr. 41340/98 și alții 3, § 101, CEDO 2003‑II).</w:t>
            </w:r>
          </w:p>
          <w:p w14:paraId="2E21D2DC" w14:textId="77777777" w:rsidR="007D6568" w:rsidRPr="00074757" w:rsidRDefault="007D6568" w:rsidP="00074757">
            <w:pPr>
              <w:widowControl w:val="0"/>
              <w:jc w:val="both"/>
              <w:rPr>
                <w:rFonts w:ascii="Times New Roman" w:hAnsi="Times New Roman" w:cs="Times New Roman"/>
                <w:sz w:val="24"/>
                <w:szCs w:val="24"/>
                <w:lang w:val="ro-RO"/>
              </w:rPr>
            </w:pPr>
          </w:p>
          <w:p w14:paraId="1D43DD00" w14:textId="12BFA1C9"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Curtea își reiterează jurisprudența, potrivit căreia unui stat nu i se poate cere să aștepte, înainte de a interveni, până când o asociație a început să ia măsuri concrete pentru a pune în aplicare o politică incompatibilă cu standardele Convenției și democrației (a se vedea, mutatis mutandis). , Refah Partisi (Partidul bunăstării) și alții, citată mai sus, § 102). Cu toate acestea, măsuri radicale de natură preventivă pentru suprimarea libertății de întrunire și de exprimare, altele decât în cazurile de incitare la violență sau de respingere a principiilor democratice – oricât de șocante și inacceptabile ar putea părea autorităților anumite puncte de vedere sau cuvinte folosite și oricât de ilegitime ar fi cererile formulate. poate fi – să facă un deserviciu democrației și adesea chiar să o pună în pericol. Una dintre principalele caracteristici ale democrației este posibilitatea pe care o oferă de a rezolva problemele prin dialog, fără a recurge la violență, chiar și atunci când acele probleme sunt supărătoare. Democrația prosperă pe libertatea de exprimare. Din acest punct de vedere, nu poate exista nicio justificare pentru a împiedica un grup doar pentru că urmărește să dezbate anumite probleme în public și să găsească soluții în conformitate cu regulile democratice (a se vedea Çetinkaya împotriva Turciei, nr. 75569/01, § 29, 27 iunie 2006 Stankov și Organizația Unită a Macedoniei Ilinden c. Bulgaria, nr. 29221/95 și 29225/95, §§ 88 și 97, CEDO 2001‑IX și Partidul Comunist Unit al Turciei și alții împotriva Turciei, 30 ianuarie 1998, § 57, Reculegerea hotărârilor și deciziilor 1998‑I).</w:t>
            </w:r>
          </w:p>
          <w:p w14:paraId="6B34B760" w14:textId="77777777" w:rsidR="007D6568" w:rsidRPr="00074757" w:rsidRDefault="007D6568" w:rsidP="00074757">
            <w:pPr>
              <w:widowControl w:val="0"/>
              <w:jc w:val="both"/>
              <w:rPr>
                <w:rFonts w:ascii="Times New Roman" w:hAnsi="Times New Roman" w:cs="Times New Roman"/>
                <w:sz w:val="24"/>
                <w:szCs w:val="24"/>
                <w:lang w:val="ro-RO"/>
              </w:rPr>
            </w:pPr>
          </w:p>
          <w:p w14:paraId="5BF03EC7" w14:textId="77777777"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Curtea a mai susținut că menționarea conștiinței apartenenței la o minoritate și a păstrării și dezvoltării culturii unei minorități nu poate fi considerată a constitui o amenințare la adresa „societății democratice”, chiar dacă poate provoca tensiuni (Ouranio Toxo și alții , citată mai sus, § 40).</w:t>
            </w:r>
          </w:p>
          <w:p w14:paraId="2FE753B2" w14:textId="77777777"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 xml:space="preserve">54. Curtea consideră că autoritățile interne nu au demonstrat că numele asociației reclamante și formularea celor două dispoziții ale actului său constitutiv care se refereau la „naționalitatea Sileziană” ar putea constitui o amenințare la adresa ordinii publice. În lipsa </w:t>
            </w:r>
            <w:r w:rsidRPr="00074757">
              <w:rPr>
                <w:rFonts w:ascii="Times New Roman" w:hAnsi="Times New Roman" w:cs="Times New Roman"/>
                <w:sz w:val="24"/>
                <w:szCs w:val="24"/>
                <w:lang w:val="ro-RO"/>
              </w:rPr>
              <w:lastRenderedPageBreak/>
              <w:t>oricăror probe concrete care să demonstreze că, alegând să se autointituleze „Asociația Oamenilor de Naționalitate Sileziană”, asociația reclamantă a optat pentru o politică care reprezenta o amenințare reală pentru ordinea publică sau pentru o societate democratică, Curtea consideră că depunerea bazată pe numele asociației și formularea a două dispoziții din actul constitutiv al acesteia nu poate justifica, prin ea însăși, dizolvarea asociației (a se vedea, mutatis mutandis, Ouranio Toxo și Alții, citat mai sus, § 41, și Partidul Comunist Unit al Turciei și alții împotriva Turciei, citat mai sus, § 54 și Asociația cetățenilor „Radko” și Paunkovski, citat mai sus, § 72).</w:t>
            </w:r>
          </w:p>
          <w:p w14:paraId="5882B166" w14:textId="77777777" w:rsidR="007D6568" w:rsidRPr="00074757" w:rsidRDefault="007D6568" w:rsidP="00074757">
            <w:pPr>
              <w:widowControl w:val="0"/>
              <w:jc w:val="both"/>
              <w:rPr>
                <w:rFonts w:ascii="Times New Roman" w:hAnsi="Times New Roman" w:cs="Times New Roman"/>
                <w:sz w:val="24"/>
                <w:szCs w:val="24"/>
                <w:lang w:val="ro-RO"/>
              </w:rPr>
            </w:pPr>
          </w:p>
          <w:p w14:paraId="2E9B8C26" w14:textId="67B12A8C" w:rsidR="007D6568" w:rsidRPr="00074757" w:rsidRDefault="00D96869"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M</w:t>
            </w:r>
            <w:r w:rsidR="007D6568" w:rsidRPr="00074757">
              <w:rPr>
                <w:rFonts w:ascii="Times New Roman" w:hAnsi="Times New Roman" w:cs="Times New Roman"/>
                <w:sz w:val="24"/>
                <w:szCs w:val="24"/>
                <w:lang w:val="ro-RO"/>
              </w:rPr>
              <w:t>otivele invocate de autorități pentru dizolvarea asociației reclamante nu erau relevante și suficiente. În consecință, nu a fost demonstrat că restricțiile aplicate în prezenta cauză, și anume dizolvarea asociației reclamante, au urmărit o „necesitate socială stringentă”. Rezultă că măsura a încălcat articolul 11 din Convenție.</w:t>
            </w:r>
          </w:p>
        </w:tc>
        <w:tc>
          <w:tcPr>
            <w:tcW w:w="2977" w:type="dxa"/>
          </w:tcPr>
          <w:p w14:paraId="205C507E" w14:textId="0D5FA862"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lastRenderedPageBreak/>
              <w:t>Reclamantul nu a depus o cerere de satisfacție echitabilă. În consecință, Curtea consideră că nu există nicio cerere de a acorda asociației reclamante vreo sumă pe acest cont</w:t>
            </w:r>
          </w:p>
        </w:tc>
      </w:tr>
      <w:tr w:rsidR="007D6568" w:rsidRPr="00074757" w14:paraId="009C698C" w14:textId="77777777" w:rsidTr="005F10B6">
        <w:tc>
          <w:tcPr>
            <w:tcW w:w="1227" w:type="dxa"/>
          </w:tcPr>
          <w:p w14:paraId="6903EE35" w14:textId="15E264CC"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lastRenderedPageBreak/>
              <w:t>11</w:t>
            </w:r>
          </w:p>
        </w:tc>
        <w:tc>
          <w:tcPr>
            <w:tcW w:w="1203" w:type="dxa"/>
          </w:tcPr>
          <w:p w14:paraId="56D65B2B" w14:textId="7C8C0455"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Libertatea de întrunire și asociere</w:t>
            </w:r>
          </w:p>
        </w:tc>
        <w:tc>
          <w:tcPr>
            <w:tcW w:w="1506" w:type="dxa"/>
          </w:tcPr>
          <w:p w14:paraId="78745A62" w14:textId="65D202B1"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Mariya Alekhina Si Al</w:t>
            </w:r>
            <w:r w:rsidR="00010147" w:rsidRPr="00074757">
              <w:rPr>
                <w:rFonts w:ascii="Times New Roman" w:hAnsi="Times New Roman" w:cs="Times New Roman"/>
                <w:sz w:val="24"/>
                <w:szCs w:val="24"/>
                <w:lang w:val="ro-RO"/>
              </w:rPr>
              <w:t>ți</w:t>
            </w:r>
            <w:r w:rsidRPr="00074757">
              <w:rPr>
                <w:rFonts w:ascii="Times New Roman" w:hAnsi="Times New Roman" w:cs="Times New Roman"/>
                <w:sz w:val="24"/>
                <w:szCs w:val="24"/>
                <w:lang w:val="ro-RO"/>
              </w:rPr>
              <w:t xml:space="preserve">i </w:t>
            </w:r>
            <w:r w:rsidR="00010147" w:rsidRPr="00074757">
              <w:rPr>
                <w:rFonts w:ascii="Times New Roman" w:hAnsi="Times New Roman" w:cs="Times New Roman"/>
                <w:sz w:val="24"/>
                <w:szCs w:val="24"/>
                <w:lang w:val="ro-RO"/>
              </w:rPr>
              <w:t>v</w:t>
            </w:r>
            <w:r w:rsidRPr="00074757">
              <w:rPr>
                <w:rFonts w:ascii="Times New Roman" w:hAnsi="Times New Roman" w:cs="Times New Roman"/>
                <w:sz w:val="24"/>
                <w:szCs w:val="24"/>
                <w:lang w:val="ro-RO"/>
              </w:rPr>
              <w:t xml:space="preserve">. Rusia (Nr. 2), no. </w:t>
            </w:r>
            <w:r w:rsidRPr="00074757">
              <w:rPr>
                <w:rStyle w:val="column"/>
                <w:rFonts w:ascii="Times New Roman" w:hAnsi="Times New Roman" w:cs="Times New Roman"/>
                <w:sz w:val="24"/>
                <w:szCs w:val="24"/>
              </w:rPr>
              <w:t xml:space="preserve">10299/15, hotărârea din </w:t>
            </w:r>
            <w:r w:rsidRPr="00074757">
              <w:rPr>
                <w:rFonts w:ascii="Times New Roman" w:hAnsi="Times New Roman" w:cs="Times New Roman"/>
                <w:sz w:val="24"/>
                <w:szCs w:val="24"/>
                <w:lang w:val="ro-RO"/>
              </w:rPr>
              <w:t>28/11/2023</w:t>
            </w:r>
          </w:p>
        </w:tc>
        <w:tc>
          <w:tcPr>
            <w:tcW w:w="1417" w:type="dxa"/>
          </w:tcPr>
          <w:p w14:paraId="567E3942" w14:textId="698BCB24" w:rsidR="006B7C0B"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Libertatea de întrunire și asociere</w:t>
            </w:r>
            <w:r w:rsidR="007021C0">
              <w:rPr>
                <w:rFonts w:ascii="Times New Roman" w:hAnsi="Times New Roman" w:cs="Times New Roman"/>
                <w:sz w:val="24"/>
                <w:szCs w:val="24"/>
                <w:lang w:val="ro-RO"/>
              </w:rPr>
              <w:t xml:space="preserve">, </w:t>
            </w:r>
          </w:p>
          <w:p w14:paraId="0BD5133D" w14:textId="51F7D9E7" w:rsidR="006B7C0B" w:rsidRPr="00074757" w:rsidRDefault="007021C0" w:rsidP="00074757">
            <w:pPr>
              <w:widowControl w:val="0"/>
              <w:jc w:val="both"/>
              <w:rPr>
                <w:rFonts w:ascii="Times New Roman" w:hAnsi="Times New Roman" w:cs="Times New Roman"/>
                <w:sz w:val="24"/>
                <w:szCs w:val="24"/>
                <w:lang w:val="ro-RO"/>
              </w:rPr>
            </w:pPr>
            <w:r>
              <w:rPr>
                <w:rFonts w:ascii="Times New Roman" w:hAnsi="Times New Roman" w:cs="Times New Roman"/>
                <w:sz w:val="24"/>
                <w:szCs w:val="24"/>
                <w:lang w:val="ro-RO"/>
              </w:rPr>
              <w:t>Ingerință n</w:t>
            </w:r>
            <w:r w:rsidR="007D6568" w:rsidRPr="00074757">
              <w:rPr>
                <w:rFonts w:ascii="Times New Roman" w:hAnsi="Times New Roman" w:cs="Times New Roman"/>
                <w:sz w:val="24"/>
                <w:szCs w:val="24"/>
                <w:lang w:val="ro-RO"/>
              </w:rPr>
              <w:t>ecesar</w:t>
            </w:r>
            <w:r>
              <w:rPr>
                <w:rFonts w:ascii="Times New Roman" w:hAnsi="Times New Roman" w:cs="Times New Roman"/>
                <w:sz w:val="24"/>
                <w:szCs w:val="24"/>
                <w:lang w:val="ro-RO"/>
              </w:rPr>
              <w:t>ă</w:t>
            </w:r>
            <w:r w:rsidR="007D6568" w:rsidRPr="00074757">
              <w:rPr>
                <w:rFonts w:ascii="Times New Roman" w:hAnsi="Times New Roman" w:cs="Times New Roman"/>
                <w:sz w:val="24"/>
                <w:szCs w:val="24"/>
                <w:lang w:val="ro-RO"/>
              </w:rPr>
              <w:t xml:space="preserve"> într-o societate democratică</w:t>
            </w:r>
            <w:r>
              <w:rPr>
                <w:rFonts w:ascii="Times New Roman" w:hAnsi="Times New Roman" w:cs="Times New Roman"/>
                <w:sz w:val="24"/>
                <w:szCs w:val="24"/>
                <w:lang w:val="ro-RO"/>
              </w:rPr>
              <w:t xml:space="preserve">, </w:t>
            </w:r>
            <w:r w:rsidR="007D6568" w:rsidRPr="00074757">
              <w:rPr>
                <w:rFonts w:ascii="Times New Roman" w:hAnsi="Times New Roman" w:cs="Times New Roman"/>
                <w:sz w:val="24"/>
                <w:szCs w:val="24"/>
                <w:lang w:val="ro-RO"/>
              </w:rPr>
              <w:t>Prevenirea tulburării</w:t>
            </w:r>
            <w:r w:rsidR="002127D6">
              <w:rPr>
                <w:rFonts w:ascii="Times New Roman" w:hAnsi="Times New Roman" w:cs="Times New Roman"/>
                <w:sz w:val="24"/>
                <w:szCs w:val="24"/>
                <w:lang w:val="ro-RO"/>
              </w:rPr>
              <w:t xml:space="preserve"> ordinii publice</w:t>
            </w:r>
            <w:r>
              <w:rPr>
                <w:rFonts w:ascii="Times New Roman" w:hAnsi="Times New Roman" w:cs="Times New Roman"/>
                <w:sz w:val="24"/>
                <w:szCs w:val="24"/>
                <w:lang w:val="ro-RO"/>
              </w:rPr>
              <w:t xml:space="preserve">, </w:t>
            </w:r>
          </w:p>
          <w:p w14:paraId="2DBC47B5" w14:textId="5AC4DB9B" w:rsidR="007D6568" w:rsidRPr="00074757" w:rsidRDefault="007D6568" w:rsidP="002127D6">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Satisfacția echitabilă-general</w:t>
            </w:r>
            <w:r w:rsidR="002127D6">
              <w:rPr>
                <w:rFonts w:ascii="Times New Roman" w:hAnsi="Times New Roman" w:cs="Times New Roman"/>
                <w:sz w:val="24"/>
                <w:szCs w:val="24"/>
                <w:lang w:val="ro-RO"/>
              </w:rPr>
              <w:t xml:space="preserve">, </w:t>
            </w:r>
            <w:r w:rsidRPr="00074757">
              <w:rPr>
                <w:rFonts w:ascii="Times New Roman" w:hAnsi="Times New Roman" w:cs="Times New Roman"/>
                <w:sz w:val="24"/>
                <w:szCs w:val="24"/>
                <w:lang w:val="ro-RO"/>
              </w:rPr>
              <w:t>Prejudiciu moral</w:t>
            </w:r>
            <w:r w:rsidR="002127D6">
              <w:rPr>
                <w:rFonts w:ascii="Times New Roman" w:hAnsi="Times New Roman" w:cs="Times New Roman"/>
                <w:sz w:val="24"/>
                <w:szCs w:val="24"/>
                <w:lang w:val="ro-RO"/>
              </w:rPr>
              <w:t>.</w:t>
            </w:r>
          </w:p>
        </w:tc>
        <w:tc>
          <w:tcPr>
            <w:tcW w:w="6582" w:type="dxa"/>
          </w:tcPr>
          <w:p w14:paraId="7546479B" w14:textId="77777777"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Refuzul autorităților de a înregistra o organizație a reclamanților echivalează cu o ingerință a autorităților în exercitarea dreptului la libertatea de asociere al reclamanților respectivi (a se vedea Sidiropoulos și alții, citată mai sus, § 31, și Metodiev și alții împotriva Bulgariei, nr. 58088/08, § 34, 15 iunie 2017).</w:t>
            </w:r>
          </w:p>
          <w:p w14:paraId="2435E957" w14:textId="77777777" w:rsidR="007D6568" w:rsidRPr="00074757" w:rsidRDefault="007D6568" w:rsidP="00074757">
            <w:pPr>
              <w:widowControl w:val="0"/>
              <w:jc w:val="both"/>
              <w:rPr>
                <w:rFonts w:ascii="Times New Roman" w:hAnsi="Times New Roman" w:cs="Times New Roman"/>
                <w:sz w:val="24"/>
                <w:szCs w:val="24"/>
                <w:lang w:val="ro-RO"/>
              </w:rPr>
            </w:pPr>
          </w:p>
          <w:p w14:paraId="6D96811B" w14:textId="77777777"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Acea ingerință nu va fi justificată în condițiile articolului 11 decât dacă a fost „prevăzută de lege”, a urmărit unul sau mai multe dintre scopurile legitime prevăzute la paragraful 2 al articolului respectiv și a fost „necesară într-o societate democratică” pentru realizarea acele scopuri.</w:t>
            </w:r>
          </w:p>
          <w:p w14:paraId="5CE2CA42" w14:textId="77777777" w:rsidR="007D6568" w:rsidRPr="00074757" w:rsidRDefault="007D6568" w:rsidP="00074757">
            <w:pPr>
              <w:widowControl w:val="0"/>
              <w:jc w:val="both"/>
              <w:rPr>
                <w:rFonts w:ascii="Times New Roman" w:hAnsi="Times New Roman" w:cs="Times New Roman"/>
                <w:sz w:val="24"/>
                <w:szCs w:val="24"/>
                <w:lang w:val="ro-RO"/>
              </w:rPr>
            </w:pPr>
          </w:p>
          <w:p w14:paraId="2B17BF93" w14:textId="19CBF895"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Curtea concluzionează că motivele invocate de statul pârât pentru refuzul de a înregistra organizația reclamanților nu erau relevante și suficiente. Astfel, ingerința în libertatea de asociere a reclamanților nu poate fi considerată necesară într-o societate democratică.</w:t>
            </w:r>
          </w:p>
        </w:tc>
        <w:tc>
          <w:tcPr>
            <w:tcW w:w="2977" w:type="dxa"/>
          </w:tcPr>
          <w:p w14:paraId="04389748" w14:textId="77277B5E"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 xml:space="preserve">7.500 EUR </w:t>
            </w:r>
            <w:r w:rsidR="00C454E8" w:rsidRPr="00074757">
              <w:rPr>
                <w:rFonts w:ascii="Times New Roman" w:hAnsi="Times New Roman" w:cs="Times New Roman"/>
                <w:sz w:val="24"/>
                <w:szCs w:val="24"/>
                <w:lang w:val="ro-RO"/>
              </w:rPr>
              <w:t xml:space="preserve"> </w:t>
            </w:r>
            <w:r w:rsidRPr="00074757">
              <w:rPr>
                <w:rFonts w:ascii="Times New Roman" w:hAnsi="Times New Roman" w:cs="Times New Roman"/>
                <w:sz w:val="24"/>
                <w:szCs w:val="24"/>
                <w:lang w:val="ro-RO"/>
              </w:rPr>
              <w:t>prejudiciu moral;</w:t>
            </w:r>
          </w:p>
          <w:p w14:paraId="1D1F3F29" w14:textId="77777777" w:rsidR="00C454E8" w:rsidRPr="00074757" w:rsidRDefault="00C454E8" w:rsidP="00074757">
            <w:pPr>
              <w:widowControl w:val="0"/>
              <w:jc w:val="both"/>
              <w:rPr>
                <w:rFonts w:ascii="Times New Roman" w:hAnsi="Times New Roman" w:cs="Times New Roman"/>
                <w:sz w:val="24"/>
                <w:szCs w:val="24"/>
                <w:lang w:val="ro-RO"/>
              </w:rPr>
            </w:pPr>
          </w:p>
          <w:p w14:paraId="491D358E" w14:textId="65A8F080"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 xml:space="preserve"> 1.920 EUR</w:t>
            </w:r>
            <w:r w:rsidR="00C454E8" w:rsidRPr="00074757">
              <w:rPr>
                <w:rFonts w:ascii="Times New Roman" w:hAnsi="Times New Roman" w:cs="Times New Roman"/>
                <w:sz w:val="24"/>
                <w:szCs w:val="24"/>
                <w:lang w:val="ro-RO"/>
              </w:rPr>
              <w:t xml:space="preserve">  </w:t>
            </w:r>
            <w:r w:rsidRPr="00074757">
              <w:rPr>
                <w:rFonts w:ascii="Times New Roman" w:hAnsi="Times New Roman" w:cs="Times New Roman"/>
                <w:sz w:val="24"/>
                <w:szCs w:val="24"/>
                <w:lang w:val="ro-RO"/>
              </w:rPr>
              <w:t>costuri și cheltuieli;</w:t>
            </w:r>
          </w:p>
        </w:tc>
      </w:tr>
      <w:tr w:rsidR="007D6568" w:rsidRPr="00074757" w14:paraId="2C091400" w14:textId="77777777" w:rsidTr="005F10B6">
        <w:tc>
          <w:tcPr>
            <w:tcW w:w="1227" w:type="dxa"/>
          </w:tcPr>
          <w:p w14:paraId="0B89D4FD" w14:textId="5429A71D"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11</w:t>
            </w:r>
          </w:p>
        </w:tc>
        <w:tc>
          <w:tcPr>
            <w:tcW w:w="1203" w:type="dxa"/>
          </w:tcPr>
          <w:p w14:paraId="41BC9912" w14:textId="14A93918"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 xml:space="preserve">Libertatea de întrunire </w:t>
            </w:r>
            <w:r w:rsidRPr="00074757">
              <w:rPr>
                <w:rFonts w:ascii="Times New Roman" w:hAnsi="Times New Roman" w:cs="Times New Roman"/>
                <w:sz w:val="24"/>
                <w:szCs w:val="24"/>
                <w:lang w:val="ro-RO"/>
              </w:rPr>
              <w:lastRenderedPageBreak/>
              <w:t>și asociere</w:t>
            </w:r>
          </w:p>
        </w:tc>
        <w:tc>
          <w:tcPr>
            <w:tcW w:w="1506" w:type="dxa"/>
          </w:tcPr>
          <w:p w14:paraId="7B491E7D" w14:textId="4723A812"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lastRenderedPageBreak/>
              <w:t xml:space="preserve">Kobaliya și alții v. Rusia, no. 39446/16 </w:t>
            </w:r>
            <w:r w:rsidRPr="00074757">
              <w:rPr>
                <w:rFonts w:ascii="Times New Roman" w:hAnsi="Times New Roman" w:cs="Times New Roman"/>
                <w:sz w:val="24"/>
                <w:szCs w:val="24"/>
                <w:lang w:val="ro-RO"/>
              </w:rPr>
              <w:lastRenderedPageBreak/>
              <w:t>et al, hotărârea din 22/10/2024</w:t>
            </w:r>
          </w:p>
        </w:tc>
        <w:tc>
          <w:tcPr>
            <w:tcW w:w="1417" w:type="dxa"/>
          </w:tcPr>
          <w:p w14:paraId="498E342A" w14:textId="7CA6ACE3" w:rsidR="006B7C0B"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lastRenderedPageBreak/>
              <w:t>Libertatea de exprimare</w:t>
            </w:r>
            <w:r w:rsidR="00276204">
              <w:rPr>
                <w:rFonts w:ascii="Times New Roman" w:hAnsi="Times New Roman" w:cs="Times New Roman"/>
                <w:sz w:val="24"/>
                <w:szCs w:val="24"/>
                <w:lang w:val="ro-RO"/>
              </w:rPr>
              <w:t>,</w:t>
            </w:r>
          </w:p>
          <w:p w14:paraId="6EE5F8B6" w14:textId="44383606" w:rsidR="006B7C0B"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lastRenderedPageBreak/>
              <w:t>Libertatea de asociere</w:t>
            </w:r>
            <w:r w:rsidR="00276204">
              <w:rPr>
                <w:rFonts w:ascii="Times New Roman" w:hAnsi="Times New Roman" w:cs="Times New Roman"/>
                <w:sz w:val="24"/>
                <w:szCs w:val="24"/>
                <w:lang w:val="ro-RO"/>
              </w:rPr>
              <w:t xml:space="preserve">, </w:t>
            </w:r>
          </w:p>
          <w:p w14:paraId="56ADE254" w14:textId="609F3197"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Aplicarea extinsă a legislației „agenților străini” la organizațiile media, jurnaliştii, activiștii și alte persoane</w:t>
            </w:r>
            <w:r w:rsidR="00276204">
              <w:rPr>
                <w:rFonts w:ascii="Times New Roman" w:hAnsi="Times New Roman" w:cs="Times New Roman"/>
                <w:sz w:val="24"/>
                <w:szCs w:val="24"/>
                <w:lang w:val="ro-RO"/>
              </w:rPr>
              <w:t>.</w:t>
            </w:r>
          </w:p>
        </w:tc>
        <w:tc>
          <w:tcPr>
            <w:tcW w:w="6582" w:type="dxa"/>
          </w:tcPr>
          <w:p w14:paraId="03183FEA" w14:textId="409E6548"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lastRenderedPageBreak/>
              <w:t xml:space="preserve">Cea mai importantă sancțiune – dizolvarea forțată – a fost aplicată mai multor organizații reclamante, inclusiv Memorialul Internațional, Centrul Memorial pentru Drepturile Omului, </w:t>
            </w:r>
            <w:r w:rsidRPr="00074757">
              <w:rPr>
                <w:rFonts w:ascii="Times New Roman" w:hAnsi="Times New Roman" w:cs="Times New Roman"/>
                <w:sz w:val="24"/>
                <w:szCs w:val="24"/>
                <w:lang w:val="ro-RO"/>
              </w:rPr>
              <w:lastRenderedPageBreak/>
              <w:t>Mișcarea pentru Drepturile Omului și Fundația League of Voters. Acest lucru sa întâmplat pe motivul presupuselor încălcări repetate ale cerințelor referitoare la desemnarea organizațiilor ca „agenți străini”. Curtea reiterează că dizolvarea forțată a unei asociații este sancțiunea cea mai drastică posibilă în ceea ce privește o asociație. Prin urmare, ar trebui aplicată numai în circumstanțe excepționale de abatere foarte gravă, deoarece este capabilă să aibă un efect de răcire nu doar asupra asociației vizate și asupra membrilor săi, ci și asupra organizațiilor pentru drepturile omului în general. În consecință, articolul 11 impune statului o sarcină mare de justificare a unei astfel de măsuri (a se vedea Tebieti Mühafize Cemiyyeti și Israfilov, citate mai sus, § 63, și Yefimov și Youth Human Rights Group c. Rusia, nr. 12385/15 și 51619/). 15, § 66, 7 decembrie 2021).</w:t>
            </w:r>
          </w:p>
          <w:p w14:paraId="5458ABAE" w14:textId="77777777" w:rsidR="007D6568" w:rsidRPr="00074757" w:rsidRDefault="007D6568" w:rsidP="00074757">
            <w:pPr>
              <w:widowControl w:val="0"/>
              <w:jc w:val="both"/>
              <w:rPr>
                <w:rFonts w:ascii="Times New Roman" w:hAnsi="Times New Roman" w:cs="Times New Roman"/>
                <w:sz w:val="24"/>
                <w:szCs w:val="24"/>
                <w:lang w:val="ro-RO"/>
              </w:rPr>
            </w:pPr>
          </w:p>
          <w:p w14:paraId="68BF0A7A" w14:textId="4E43BB22"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 xml:space="preserve"> În concluzie, Curtea constată că severitatea și amploarea sancțiunilor erau vădit disproporționate față de scopul declarat de asigurare a transparenței. Ei au impus un regim punitiv „agenților străini” care a depășit cu mult ceea ce ar putea fi considerat necesar într-o societate democratică, creând un efect de înfrigurare semnificativ asupra societății civile și a dezbaterii publice.</w:t>
            </w:r>
          </w:p>
          <w:p w14:paraId="0401DA1E" w14:textId="77777777" w:rsidR="007D6568" w:rsidRPr="00074757" w:rsidRDefault="007D6568" w:rsidP="00074757">
            <w:pPr>
              <w:widowControl w:val="0"/>
              <w:jc w:val="both"/>
              <w:rPr>
                <w:rFonts w:ascii="Times New Roman" w:hAnsi="Times New Roman" w:cs="Times New Roman"/>
                <w:sz w:val="24"/>
                <w:szCs w:val="24"/>
                <w:lang w:val="ro-RO"/>
              </w:rPr>
            </w:pPr>
          </w:p>
          <w:p w14:paraId="67D08F5F" w14:textId="153795AA"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 Având în vedere absența unor motive relevante și suficiente pentru aplicarea etichetei stigmatizatoare de „agenți străini” organizațiilor, instituțiilor de presă și persoanelor solicitante, lipsa unei „nevoi sociale stringente” în aplicarea cerințelor suplimentare și caracterul vădit disproporționat sancțiuni punitive, Curtea concluzionează că cadrul legislativ „agent străin” și aplicarea acestuia către reclamanți a fost arbitrară și nu a fost „necesară într-un societate democratică”. Mai mult, o astfel de legislație a contribuit la micșorarea spațiului democratic prin crearea unui mediu de suspiciune și neîncredere față de actorii societății civile și de vocile independente, subminând astfel însăși fundamentele democrației. În consecință, a existat o încălcare a articolelor 10 și 11 din Convenție.</w:t>
            </w:r>
          </w:p>
        </w:tc>
        <w:tc>
          <w:tcPr>
            <w:tcW w:w="2977" w:type="dxa"/>
          </w:tcPr>
          <w:p w14:paraId="4D5F2A76" w14:textId="5AAE2688"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lastRenderedPageBreak/>
              <w:t xml:space="preserve">10.000 EUR fiecărui reclamant sau o sumă mai mică precum a fost pretins </w:t>
            </w:r>
            <w:r w:rsidRPr="00074757">
              <w:rPr>
                <w:rFonts w:ascii="Times New Roman" w:hAnsi="Times New Roman" w:cs="Times New Roman"/>
                <w:sz w:val="24"/>
                <w:szCs w:val="24"/>
                <w:lang w:val="ro-RO"/>
              </w:rPr>
              <w:lastRenderedPageBreak/>
              <w:t>efectiv cu privire la prejudiciul moral și 850 EUR per cerere sau o sumă mai mică așa cum a fost pretinsă efectiv pentru costuri și cheltuieli</w:t>
            </w:r>
            <w:r w:rsidR="00C454E8" w:rsidRPr="00074757">
              <w:rPr>
                <w:rFonts w:ascii="Times New Roman" w:hAnsi="Times New Roman" w:cs="Times New Roman"/>
                <w:sz w:val="24"/>
                <w:szCs w:val="24"/>
                <w:lang w:val="ro-RO"/>
              </w:rPr>
              <w:t>.</w:t>
            </w:r>
          </w:p>
          <w:p w14:paraId="1D998BC5" w14:textId="77777777" w:rsidR="007D6568" w:rsidRPr="00074757" w:rsidRDefault="007D6568" w:rsidP="00074757">
            <w:pPr>
              <w:widowControl w:val="0"/>
              <w:jc w:val="both"/>
              <w:rPr>
                <w:rFonts w:ascii="Times New Roman" w:hAnsi="Times New Roman" w:cs="Times New Roman"/>
                <w:sz w:val="24"/>
                <w:szCs w:val="24"/>
                <w:lang w:val="ro-RO"/>
              </w:rPr>
            </w:pPr>
          </w:p>
          <w:p w14:paraId="47192E11" w14:textId="7C0C843A" w:rsidR="007D6568" w:rsidRPr="00074757" w:rsidRDefault="007D6568" w:rsidP="00074757">
            <w:pPr>
              <w:widowControl w:val="0"/>
              <w:jc w:val="both"/>
              <w:rPr>
                <w:rFonts w:ascii="Times New Roman" w:hAnsi="Times New Roman" w:cs="Times New Roman"/>
                <w:sz w:val="24"/>
                <w:szCs w:val="24"/>
                <w:lang w:val="ro-RO"/>
              </w:rPr>
            </w:pPr>
          </w:p>
        </w:tc>
      </w:tr>
      <w:tr w:rsidR="007D6568" w:rsidRPr="00074757" w14:paraId="6AC53C62" w14:textId="77777777" w:rsidTr="005F10B6">
        <w:tc>
          <w:tcPr>
            <w:tcW w:w="1227" w:type="dxa"/>
          </w:tcPr>
          <w:p w14:paraId="735104F6" w14:textId="6B5E0233"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lastRenderedPageBreak/>
              <w:t>11</w:t>
            </w:r>
          </w:p>
        </w:tc>
        <w:tc>
          <w:tcPr>
            <w:tcW w:w="1203" w:type="dxa"/>
          </w:tcPr>
          <w:p w14:paraId="06383DB8" w14:textId="31551E89"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 xml:space="preserve">Libertatea de întrunire </w:t>
            </w:r>
            <w:r w:rsidRPr="00074757">
              <w:rPr>
                <w:rFonts w:ascii="Times New Roman" w:hAnsi="Times New Roman" w:cs="Times New Roman"/>
                <w:sz w:val="24"/>
                <w:szCs w:val="24"/>
                <w:lang w:val="ro-RO"/>
              </w:rPr>
              <w:lastRenderedPageBreak/>
              <w:t>și asociere</w:t>
            </w:r>
          </w:p>
        </w:tc>
        <w:tc>
          <w:tcPr>
            <w:tcW w:w="1506" w:type="dxa"/>
          </w:tcPr>
          <w:p w14:paraId="36A46222" w14:textId="782C65DC"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lastRenderedPageBreak/>
              <w:t xml:space="preserve">Zhmyrev </w:t>
            </w:r>
            <w:r w:rsidR="00637DAD" w:rsidRPr="00074757">
              <w:rPr>
                <w:rFonts w:ascii="Times New Roman" w:hAnsi="Times New Roman" w:cs="Times New Roman"/>
                <w:sz w:val="24"/>
                <w:szCs w:val="24"/>
                <w:lang w:val="ro-RO"/>
              </w:rPr>
              <w:t>și</w:t>
            </w:r>
            <w:r w:rsidRPr="00074757">
              <w:rPr>
                <w:rFonts w:ascii="Times New Roman" w:hAnsi="Times New Roman" w:cs="Times New Roman"/>
                <w:sz w:val="24"/>
                <w:szCs w:val="24"/>
                <w:lang w:val="ro-RO"/>
              </w:rPr>
              <w:t xml:space="preserve"> </w:t>
            </w:r>
            <w:r w:rsidR="00637DAD" w:rsidRPr="00074757">
              <w:rPr>
                <w:rFonts w:ascii="Times New Roman" w:hAnsi="Times New Roman" w:cs="Times New Roman"/>
                <w:sz w:val="24"/>
                <w:szCs w:val="24"/>
                <w:lang w:val="ro-RO"/>
              </w:rPr>
              <w:t>Alții</w:t>
            </w:r>
            <w:r w:rsidRPr="00074757">
              <w:rPr>
                <w:rFonts w:ascii="Times New Roman" w:hAnsi="Times New Roman" w:cs="Times New Roman"/>
                <w:sz w:val="24"/>
                <w:szCs w:val="24"/>
                <w:lang w:val="ro-RO"/>
              </w:rPr>
              <w:t xml:space="preserve"> </w:t>
            </w:r>
            <w:r w:rsidR="00637DAD" w:rsidRPr="00074757">
              <w:rPr>
                <w:rFonts w:ascii="Times New Roman" w:hAnsi="Times New Roman" w:cs="Times New Roman"/>
                <w:sz w:val="24"/>
                <w:szCs w:val="24"/>
                <w:lang w:val="ro-RO"/>
              </w:rPr>
              <w:t>v</w:t>
            </w:r>
            <w:r w:rsidRPr="00074757">
              <w:rPr>
                <w:rFonts w:ascii="Times New Roman" w:hAnsi="Times New Roman" w:cs="Times New Roman"/>
                <w:sz w:val="24"/>
                <w:szCs w:val="24"/>
                <w:lang w:val="ro-RO"/>
              </w:rPr>
              <w:t xml:space="preserve">. Rusia, no. </w:t>
            </w:r>
            <w:r w:rsidRPr="00074757">
              <w:rPr>
                <w:rStyle w:val="textcolumn"/>
                <w:rFonts w:ascii="Times New Roman" w:hAnsi="Times New Roman" w:cs="Times New Roman"/>
                <w:sz w:val="24"/>
                <w:szCs w:val="24"/>
              </w:rPr>
              <w:lastRenderedPageBreak/>
              <w:t xml:space="preserve">69927/17, hotărârea din </w:t>
            </w:r>
            <w:r w:rsidRPr="00074757">
              <w:rPr>
                <w:rStyle w:val="column"/>
                <w:rFonts w:ascii="Times New Roman" w:hAnsi="Times New Roman" w:cs="Times New Roman"/>
                <w:sz w:val="24"/>
                <w:szCs w:val="24"/>
              </w:rPr>
              <w:t>12/09/2024</w:t>
            </w:r>
          </w:p>
        </w:tc>
        <w:tc>
          <w:tcPr>
            <w:tcW w:w="1417" w:type="dxa"/>
          </w:tcPr>
          <w:p w14:paraId="77AC39DC" w14:textId="28A72BBC" w:rsidR="006B7C0B"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lastRenderedPageBreak/>
              <w:t xml:space="preserve">Arest în legătură cu proteste </w:t>
            </w:r>
            <w:r w:rsidRPr="00074757">
              <w:rPr>
                <w:rFonts w:ascii="Times New Roman" w:hAnsi="Times New Roman" w:cs="Times New Roman"/>
                <w:sz w:val="24"/>
                <w:szCs w:val="24"/>
                <w:lang w:val="ro-RO"/>
              </w:rPr>
              <w:lastRenderedPageBreak/>
              <w:t>organizate</w:t>
            </w:r>
            <w:r w:rsidR="00276204">
              <w:rPr>
                <w:rFonts w:ascii="Times New Roman" w:hAnsi="Times New Roman" w:cs="Times New Roman"/>
                <w:sz w:val="24"/>
                <w:szCs w:val="24"/>
                <w:lang w:val="ro-RO"/>
              </w:rPr>
              <w:t xml:space="preserve">, </w:t>
            </w:r>
          </w:p>
          <w:p w14:paraId="7AE4B17F" w14:textId="3656458D" w:rsidR="007D6568" w:rsidRPr="00074757" w:rsidRDefault="007D6568" w:rsidP="00276204">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Hotărâri de atragere la răspundere administrativă</w:t>
            </w:r>
            <w:r w:rsidR="00276204">
              <w:rPr>
                <w:rFonts w:ascii="Times New Roman" w:hAnsi="Times New Roman" w:cs="Times New Roman"/>
                <w:sz w:val="24"/>
                <w:szCs w:val="24"/>
                <w:lang w:val="ro-RO"/>
              </w:rPr>
              <w:t xml:space="preserve">, </w:t>
            </w:r>
            <w:r w:rsidRPr="00074757">
              <w:rPr>
                <w:rFonts w:ascii="Times New Roman" w:hAnsi="Times New Roman" w:cs="Times New Roman"/>
                <w:sz w:val="24"/>
                <w:szCs w:val="24"/>
                <w:lang w:val="ro-RO"/>
              </w:rPr>
              <w:t xml:space="preserve">Dispersarea protestelor. </w:t>
            </w:r>
          </w:p>
        </w:tc>
        <w:tc>
          <w:tcPr>
            <w:tcW w:w="6582" w:type="dxa"/>
          </w:tcPr>
          <w:p w14:paraId="78753D8E" w14:textId="0D1A5556"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lastRenderedPageBreak/>
              <w:t xml:space="preserve">Curtea face trimitere la principiile stabilite în jurisprudența sa cu privire la libertatea de întrunire (a se vedea Kudrevičius și alții împotriva Lituaniei [GC], nr. 37553/05, CEDO 2015, cu referiri </w:t>
            </w:r>
            <w:r w:rsidRPr="00074757">
              <w:rPr>
                <w:rFonts w:ascii="Times New Roman" w:hAnsi="Times New Roman" w:cs="Times New Roman"/>
                <w:sz w:val="24"/>
                <w:szCs w:val="24"/>
                <w:lang w:val="ro-RO"/>
              </w:rPr>
              <w:lastRenderedPageBreak/>
              <w:t>suplimentare) și proporționalitatea ingerinței în aceasta ( a se vedea Oya Ataman împotriva Turciei, nr. 74552/01, CEDO 2006‑XIV, și Hyde Park și alții împotriva Moldovei, nr. 33482/06, 31 martie 2009).</w:t>
            </w:r>
          </w:p>
          <w:p w14:paraId="44C772BD" w14:textId="77777777" w:rsidR="007D6568" w:rsidRPr="00074757" w:rsidRDefault="007D6568" w:rsidP="00074757">
            <w:pPr>
              <w:widowControl w:val="0"/>
              <w:jc w:val="both"/>
              <w:rPr>
                <w:rFonts w:ascii="Times New Roman" w:hAnsi="Times New Roman" w:cs="Times New Roman"/>
                <w:sz w:val="24"/>
                <w:szCs w:val="24"/>
                <w:lang w:val="ro-RO"/>
              </w:rPr>
            </w:pPr>
          </w:p>
          <w:p w14:paraId="328983C5" w14:textId="66C38CE4"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 xml:space="preserve"> În cauzele principale ale Frumkin împotriva Rusiei, nr. 74568/12, CEDO 2016 (extrase), Navalnyy și Yashin împotriva Rusiei, nr. 76204/11, 4 decembrie 2014 și Kasparov și alții împotriva Rusiei, nr. 21613/07, 3 octombrie 2013, Curtea a constatat deja o încălcare în privința unor chestiuni similare celor din prezenta cauză.</w:t>
            </w:r>
          </w:p>
          <w:p w14:paraId="6090DE80" w14:textId="77777777" w:rsidR="007D6568" w:rsidRPr="00074757" w:rsidRDefault="007D6568" w:rsidP="00074757">
            <w:pPr>
              <w:widowControl w:val="0"/>
              <w:jc w:val="both"/>
              <w:rPr>
                <w:rFonts w:ascii="Times New Roman" w:hAnsi="Times New Roman" w:cs="Times New Roman"/>
                <w:sz w:val="24"/>
                <w:szCs w:val="24"/>
                <w:lang w:val="ro-RO"/>
              </w:rPr>
            </w:pPr>
          </w:p>
          <w:p w14:paraId="30B4CEB6" w14:textId="76F38CF3"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După ce a examinat toate materialele care i-au fost prezentate și ținând cont de problema respectării termenului de șase luni prevăzut la articolul 35 § 1 din Convenție (a se vedea Saakashvili împotriva Georgiei (dec.), nr. 6232 /20 și 22394/20, §§ 46-59, 1 martie 2022, în care Curtea a abordat prelungirea legată de COVID a perioada în cauză), Curtea nu a constatat niciun fapt sau argument de natură să o convingă să ajungă la o altă concluzie cu privire la admisibilitatea și fondul acestor plângeri. Având în vedere jurisprudența sa în materie, Curtea consideră că în prezenta cauză ingerințele în libertatea de întrunire a reclamanților nu erau „necesare într-o societate democratică”.</w:t>
            </w:r>
          </w:p>
          <w:p w14:paraId="236AD969" w14:textId="77777777" w:rsidR="007D6568" w:rsidRPr="00074757" w:rsidRDefault="007D6568" w:rsidP="00074757">
            <w:pPr>
              <w:widowControl w:val="0"/>
              <w:jc w:val="both"/>
              <w:rPr>
                <w:rFonts w:ascii="Times New Roman" w:hAnsi="Times New Roman" w:cs="Times New Roman"/>
                <w:sz w:val="24"/>
                <w:szCs w:val="24"/>
                <w:lang w:val="ro-RO"/>
              </w:rPr>
            </w:pPr>
          </w:p>
          <w:p w14:paraId="327A5484" w14:textId="53702C12"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 xml:space="preserve"> Prin urmare, aceste plângeri sunt admisibile și dezvăluie o încălcare a articolului 11 din Convenție.</w:t>
            </w:r>
          </w:p>
        </w:tc>
        <w:tc>
          <w:tcPr>
            <w:tcW w:w="2977" w:type="dxa"/>
          </w:tcPr>
          <w:p w14:paraId="1A091DB4" w14:textId="2DBDC76F"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lastRenderedPageBreak/>
              <w:t xml:space="preserve">15. În ceea ce privește documentele aflate în posesia sa și jurisprudența sa </w:t>
            </w:r>
            <w:r w:rsidRPr="00074757">
              <w:rPr>
                <w:rFonts w:ascii="Times New Roman" w:hAnsi="Times New Roman" w:cs="Times New Roman"/>
                <w:sz w:val="24"/>
                <w:szCs w:val="24"/>
                <w:lang w:val="ro-RO"/>
              </w:rPr>
              <w:lastRenderedPageBreak/>
              <w:t>(a se vedea, în special, Navalnyy și alții împotriva Rusiei [Comitet], nr. 25809/17 și alții 14, § 22, 4 octombrie 2022), Curtea consideră rezonabil să acorde sumele indicate în tabelul anexat.</w:t>
            </w:r>
          </w:p>
        </w:tc>
      </w:tr>
      <w:tr w:rsidR="007D6568" w:rsidRPr="00074757" w14:paraId="05CDC10A" w14:textId="77777777" w:rsidTr="005F10B6">
        <w:tc>
          <w:tcPr>
            <w:tcW w:w="1227" w:type="dxa"/>
          </w:tcPr>
          <w:p w14:paraId="13F4A874" w14:textId="33754740"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lastRenderedPageBreak/>
              <w:t>11</w:t>
            </w:r>
          </w:p>
        </w:tc>
        <w:tc>
          <w:tcPr>
            <w:tcW w:w="1203" w:type="dxa"/>
          </w:tcPr>
          <w:p w14:paraId="2BEF3705" w14:textId="6184641C"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Libertatea de întrunire și asociere</w:t>
            </w:r>
          </w:p>
        </w:tc>
        <w:tc>
          <w:tcPr>
            <w:tcW w:w="1506" w:type="dxa"/>
          </w:tcPr>
          <w:p w14:paraId="131E7C3B" w14:textId="6543DF1B" w:rsidR="007D6568" w:rsidRPr="00074757" w:rsidRDefault="007D6568" w:rsidP="00074757">
            <w:pPr>
              <w:widowControl w:val="0"/>
              <w:jc w:val="both"/>
              <w:rPr>
                <w:rFonts w:ascii="Times New Roman" w:hAnsi="Times New Roman" w:cs="Times New Roman"/>
                <w:sz w:val="24"/>
                <w:szCs w:val="24"/>
                <w:highlight w:val="yellow"/>
                <w:lang w:val="ro-RO"/>
              </w:rPr>
            </w:pPr>
            <w:r w:rsidRPr="00961CD5">
              <w:rPr>
                <w:rFonts w:ascii="Times New Roman" w:hAnsi="Times New Roman" w:cs="Times New Roman"/>
                <w:sz w:val="24"/>
                <w:szCs w:val="24"/>
                <w:lang w:val="ro-RO"/>
              </w:rPr>
              <w:t xml:space="preserve">Babali și alții v. Azerbaijan, no. </w:t>
            </w:r>
            <w:r w:rsidRPr="00961CD5">
              <w:rPr>
                <w:rStyle w:val="column"/>
                <w:rFonts w:ascii="Times New Roman" w:hAnsi="Times New Roman" w:cs="Times New Roman"/>
                <w:sz w:val="24"/>
                <w:szCs w:val="24"/>
              </w:rPr>
              <w:t>43164/10, hotărârea din</w:t>
            </w:r>
            <w:r w:rsidRPr="00961CD5">
              <w:rPr>
                <w:rFonts w:ascii="Times New Roman" w:hAnsi="Times New Roman" w:cs="Times New Roman"/>
                <w:sz w:val="24"/>
                <w:szCs w:val="24"/>
              </w:rPr>
              <w:t xml:space="preserve"> </w:t>
            </w:r>
            <w:r w:rsidRPr="00961CD5">
              <w:rPr>
                <w:rStyle w:val="column"/>
                <w:rFonts w:ascii="Times New Roman" w:hAnsi="Times New Roman" w:cs="Times New Roman"/>
                <w:sz w:val="24"/>
                <w:szCs w:val="24"/>
              </w:rPr>
              <w:t>24/10/2024</w:t>
            </w:r>
          </w:p>
        </w:tc>
        <w:tc>
          <w:tcPr>
            <w:tcW w:w="1417" w:type="dxa"/>
          </w:tcPr>
          <w:p w14:paraId="3044746D" w14:textId="0C6F5786" w:rsidR="007D6568" w:rsidRPr="00074757" w:rsidRDefault="00AF75B5" w:rsidP="00074757">
            <w:pPr>
              <w:widowControl w:val="0"/>
              <w:jc w:val="both"/>
              <w:rPr>
                <w:rFonts w:ascii="Times New Roman" w:hAnsi="Times New Roman" w:cs="Times New Roman"/>
                <w:sz w:val="24"/>
                <w:szCs w:val="24"/>
                <w:lang w:val="ro-RO"/>
              </w:rPr>
            </w:pPr>
            <w:r>
              <w:rPr>
                <w:rFonts w:ascii="Times New Roman" w:hAnsi="Times New Roman" w:cs="Times New Roman"/>
                <w:sz w:val="24"/>
                <w:szCs w:val="24"/>
                <w:lang w:val="ro-RO"/>
              </w:rPr>
              <w:t>Sechestrarea din birou a întregului dosar reclamanților, Refuzul de a autoriza întrunirea ilegală. Necesitatea într-o societate democratică</w:t>
            </w:r>
            <w:r>
              <w:rPr>
                <w:rFonts w:ascii="Times New Roman" w:hAnsi="Times New Roman" w:cs="Times New Roman"/>
                <w:sz w:val="24"/>
                <w:szCs w:val="24"/>
                <w:lang w:val="ro-RO"/>
              </w:rPr>
              <w:lastRenderedPageBreak/>
              <w:t>.</w:t>
            </w:r>
          </w:p>
        </w:tc>
        <w:tc>
          <w:tcPr>
            <w:tcW w:w="6582" w:type="dxa"/>
          </w:tcPr>
          <w:p w14:paraId="77D91F7C" w14:textId="77777777"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lastRenderedPageBreak/>
              <w:t>15. Ei s-au plâns, de asemenea, că refuzul de a autoriza întrunirea a fost ilegal și nu necesar într-o societate democratică, încălcând dreptul lor la libertatea de întrunire în temeiul articolului 11 din Convenție.</w:t>
            </w:r>
          </w:p>
          <w:p w14:paraId="5F99C990" w14:textId="77777777" w:rsidR="007D6568" w:rsidRPr="00074757" w:rsidRDefault="007D6568" w:rsidP="00074757">
            <w:pPr>
              <w:widowControl w:val="0"/>
              <w:jc w:val="both"/>
              <w:rPr>
                <w:rFonts w:ascii="Times New Roman" w:hAnsi="Times New Roman" w:cs="Times New Roman"/>
                <w:sz w:val="24"/>
                <w:szCs w:val="24"/>
                <w:lang w:val="ro-RO"/>
              </w:rPr>
            </w:pPr>
          </w:p>
          <w:p w14:paraId="29D67A59" w14:textId="09B97701"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16. În sfârșit, după comunicarea cauzei, reprezentantul reclamanților, domnul Aliyev, a introdus o nouă plângere în numele reclamanților, susținând că sechestrarea din biroul său a întregului dosar referitor la cauza pendinte a reclamanților în fața Curții , împreună cu toate celelalte dosare, au constituit o piedică în calea exercitării dreptului reclamanților la cererea individuală în temeiul articolului 34 din Convenție.</w:t>
            </w:r>
          </w:p>
          <w:p w14:paraId="2B1706D4" w14:textId="77777777" w:rsidR="007D6568" w:rsidRPr="00074757" w:rsidRDefault="007D6568" w:rsidP="00074757">
            <w:pPr>
              <w:widowControl w:val="0"/>
              <w:jc w:val="both"/>
              <w:rPr>
                <w:rFonts w:ascii="Times New Roman" w:hAnsi="Times New Roman" w:cs="Times New Roman"/>
                <w:sz w:val="24"/>
                <w:szCs w:val="24"/>
                <w:lang w:val="ro-RO"/>
              </w:rPr>
            </w:pPr>
          </w:p>
          <w:p w14:paraId="4D3340C7" w14:textId="2420646D"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lastRenderedPageBreak/>
              <w:t>25. Reclamanții au ridicat și alte plângeri (a se vedea paragrafele 15-16 de mai sus) care sunt acoperite de jurisprudența bine stabilită a Curții. Aceste plângeri nu sunt în mod vădit nefondate în sensul articolului 35 § 3 (a) din Convenție și nici nu sunt inadmisibile din orice alt motiv. Prin urmare, acestea trebuie declarate admisibile. După ce a examinat toate materialele în fața sa, Curtea concluzionează că acestea dezvăluie o încălcare a articolelor 11 și 34 din Convenție în lumina constatărilor sale în cauza Mustafa Hajili și alții împotriva Azerbaidjanului, nr. 69483/13 și alții 2, §§ 59-69, 6 octombrie 2022, pentru încălcarea articolului 11, și Annagi Hajibeyli împotriva Azerbaidjanului, nr. 2204/11, §§ 64-79, 22 octombrie 2015, pentru încălcarea articolului 34.</w:t>
            </w:r>
          </w:p>
        </w:tc>
        <w:tc>
          <w:tcPr>
            <w:tcW w:w="2977" w:type="dxa"/>
          </w:tcPr>
          <w:p w14:paraId="0A8491B1" w14:textId="2F36F51D"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lastRenderedPageBreak/>
              <w:t>5.800 EUR cu titlu de prejudiciu moral, plus orice impozit care ar putea fi exigibil.</w:t>
            </w:r>
          </w:p>
          <w:p w14:paraId="1AD5E834" w14:textId="77777777" w:rsidR="007D6568" w:rsidRPr="00074757" w:rsidRDefault="007D6568" w:rsidP="00074757">
            <w:pPr>
              <w:widowControl w:val="0"/>
              <w:jc w:val="both"/>
              <w:rPr>
                <w:rFonts w:ascii="Times New Roman" w:hAnsi="Times New Roman" w:cs="Times New Roman"/>
                <w:sz w:val="24"/>
                <w:szCs w:val="24"/>
                <w:lang w:val="ro-RO"/>
              </w:rPr>
            </w:pPr>
          </w:p>
          <w:p w14:paraId="42490190" w14:textId="26553DF7"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1.500 EUR pentru acoperirea cheltuielilor de judecată sub toate capetele, plus orice taxă care ar putea fi datorată reclamanților.</w:t>
            </w:r>
          </w:p>
        </w:tc>
      </w:tr>
      <w:tr w:rsidR="007D6568" w:rsidRPr="00074757" w14:paraId="310E3045" w14:textId="77777777" w:rsidTr="005F10B6">
        <w:tc>
          <w:tcPr>
            <w:tcW w:w="1227" w:type="dxa"/>
          </w:tcPr>
          <w:p w14:paraId="41735A4D" w14:textId="3D2C6824"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11</w:t>
            </w:r>
          </w:p>
        </w:tc>
        <w:tc>
          <w:tcPr>
            <w:tcW w:w="1203" w:type="dxa"/>
          </w:tcPr>
          <w:p w14:paraId="015C0242" w14:textId="757D1CA6"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Libertatea de întrunire și asociere</w:t>
            </w:r>
          </w:p>
        </w:tc>
        <w:tc>
          <w:tcPr>
            <w:tcW w:w="1506" w:type="dxa"/>
          </w:tcPr>
          <w:p w14:paraId="41CF5FFD" w14:textId="171B9630"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 xml:space="preserve">Tsimeyko v. Ucraina, no. </w:t>
            </w:r>
            <w:r w:rsidRPr="00074757">
              <w:rPr>
                <w:rStyle w:val="column"/>
                <w:rFonts w:ascii="Times New Roman" w:hAnsi="Times New Roman" w:cs="Times New Roman"/>
                <w:sz w:val="24"/>
                <w:szCs w:val="24"/>
              </w:rPr>
              <w:t>32960/13, hotărârea din 27/06/2024</w:t>
            </w:r>
          </w:p>
        </w:tc>
        <w:tc>
          <w:tcPr>
            <w:tcW w:w="1417" w:type="dxa"/>
          </w:tcPr>
          <w:p w14:paraId="2BA66F35" w14:textId="4BF391E3" w:rsidR="004A42CD" w:rsidRPr="00074757" w:rsidRDefault="00237FBE" w:rsidP="005C0658">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Lipsa unei căi eficiente de atac</w:t>
            </w:r>
            <w:r w:rsidR="005C0658">
              <w:rPr>
                <w:rFonts w:ascii="Times New Roman" w:hAnsi="Times New Roman" w:cs="Times New Roman"/>
                <w:sz w:val="24"/>
                <w:szCs w:val="24"/>
                <w:lang w:val="ro-RO"/>
              </w:rPr>
              <w:t xml:space="preserve">, </w:t>
            </w:r>
            <w:r w:rsidR="00D90281">
              <w:rPr>
                <w:rFonts w:ascii="Times New Roman" w:hAnsi="Times New Roman" w:cs="Times New Roman"/>
                <w:sz w:val="24"/>
                <w:szCs w:val="24"/>
                <w:lang w:val="ro-RO"/>
              </w:rPr>
              <w:t>libertatea de întrunire.</w:t>
            </w:r>
          </w:p>
        </w:tc>
        <w:tc>
          <w:tcPr>
            <w:tcW w:w="6582" w:type="dxa"/>
          </w:tcPr>
          <w:p w14:paraId="14209614" w14:textId="4B57D1A4" w:rsidR="00237FBE" w:rsidRPr="00074757" w:rsidRDefault="00237FBE"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Având în vedere concluzia sa în temeiul articolului 11 cu privire la decizia din 28 februarie 2013, Curtea consideră că reclamanta nu avea o cerere discutabilă în temeiul articolului 13 cu privire la această decizie.</w:t>
            </w:r>
          </w:p>
          <w:p w14:paraId="0E87ED90" w14:textId="48698F28" w:rsidR="00237FBE" w:rsidRPr="00074757" w:rsidRDefault="00237FBE"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În ceea ce privește restul hotărârilor judecătorești în litigiu, având în vedere constatările sale în temeiul articolului 11 din Convenție, Curtea concluzionează că reclamantul avea o cerere discutabilă cu privire la drepturile sale în temeiul articolului 13.</w:t>
            </w:r>
          </w:p>
          <w:p w14:paraId="25B7F614" w14:textId="02A4B7C2" w:rsidR="00237FBE" w:rsidRPr="00074757" w:rsidRDefault="00237FBE"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Noțiunea de remediu efectiv însemna că reclamantul ar fi trebuit să aibă posibilitatea de a face ca recursurile sale împotriva deciziilor din 27 și 29 octombrie 2012 și din 5 decembrie 2012 să fie examinate de instanțe înainte de data evenimentelor planificate (a se vedea Baczkowski și alții c. Polonia, nr. 1543/06, §§ 83-84, 3 mai 2007).</w:t>
            </w:r>
          </w:p>
          <w:p w14:paraId="3FC3D340" w14:textId="0D290668" w:rsidR="00237FBE" w:rsidRPr="00074757" w:rsidRDefault="00237FBE"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Când reclamantul a ajuns la Comisia Electorală Centrală la 29 octombrie 2012 și la Banca Națională la 1 noiembrie 2012, nu avea cunoștință de hotărârile judecătorești care interziceau evenimentele publice în apropierea acestor instituții. Din aceste motive, el nu a putut face apel împotriva lor înainte de data evenimentelor planificate.</w:t>
            </w:r>
          </w:p>
          <w:p w14:paraId="58CF8D27" w14:textId="0919FDEB" w:rsidR="00237FBE" w:rsidRPr="00074757" w:rsidRDefault="00237FBE"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 xml:space="preserve">De asemenea, este de remarcat faptul că instanțele nu au fost obligate de niciun termen legal obligatoriu să emită deciziile finale înainte de data planificată pentru evenimentele reclamantului. Prin urmare, Curtea nu este convinsă că căile de atac disponibile reclamantului, toate având un caracter post-hoc, ar putea oferi o despăgubire adecvată în ceea ce privește presupusele încălcări ale </w:t>
            </w:r>
            <w:r w:rsidRPr="00074757">
              <w:rPr>
                <w:rFonts w:ascii="Times New Roman" w:hAnsi="Times New Roman" w:cs="Times New Roman"/>
                <w:sz w:val="24"/>
                <w:szCs w:val="24"/>
                <w:lang w:val="ro-RO"/>
              </w:rPr>
              <w:lastRenderedPageBreak/>
              <w:t>Convenției (a se vedea Baczkowski și alții împotriva Poloniei</w:t>
            </w:r>
            <w:r w:rsidR="007E1A8A" w:rsidRPr="00074757">
              <w:rPr>
                <w:rFonts w:ascii="Times New Roman" w:hAnsi="Times New Roman" w:cs="Times New Roman"/>
                <w:sz w:val="24"/>
                <w:szCs w:val="24"/>
                <w:lang w:val="ro-RO"/>
              </w:rPr>
              <w:t>)</w:t>
            </w:r>
          </w:p>
          <w:p w14:paraId="2D67035C" w14:textId="77777777" w:rsidR="00237FBE" w:rsidRPr="00074757" w:rsidRDefault="00237FBE" w:rsidP="00074757">
            <w:pPr>
              <w:widowControl w:val="0"/>
              <w:jc w:val="both"/>
              <w:rPr>
                <w:rFonts w:ascii="Times New Roman" w:hAnsi="Times New Roman" w:cs="Times New Roman"/>
                <w:sz w:val="24"/>
                <w:szCs w:val="24"/>
                <w:lang w:val="ro-RO"/>
              </w:rPr>
            </w:pPr>
          </w:p>
          <w:p w14:paraId="63F8B35E" w14:textId="452EC90F" w:rsidR="00237FBE" w:rsidRPr="00074757" w:rsidRDefault="00237FBE"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Curtea observă că ancheta asupra plângerii reclamantului cu privire la acțiunile poliției din 1 și 8 noiembrie 2012 a rămas pendinte din 2013 până cel puțin în 2020.</w:t>
            </w:r>
          </w:p>
          <w:p w14:paraId="2B05066B" w14:textId="3286C9A4" w:rsidR="007D6568" w:rsidRPr="00074757" w:rsidRDefault="00237FBE"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 xml:space="preserve"> În lumina celor de mai sus, Curtea consideră că reclamantul nu a avut o cale de atac efectivă în privința plângerilor sale în temeiul articolului 11 și a existat o încălcare a articolului 13 din Convenție.</w:t>
            </w:r>
          </w:p>
        </w:tc>
        <w:tc>
          <w:tcPr>
            <w:tcW w:w="2977" w:type="dxa"/>
          </w:tcPr>
          <w:p w14:paraId="7AD3F941" w14:textId="72911973" w:rsidR="007D6568" w:rsidRPr="00074757" w:rsidRDefault="009652BF"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lastRenderedPageBreak/>
              <w:t xml:space="preserve"> Având în vedere natura plângerilor reclamantului, Curtea consideră că constatarea unei încălcări, declanșând obligația statului pârât de a lua măsuri menite să asigure respectarea dreptului la libertatea de întrunire indicată în Hotărârea Vyerentsov c. Ucraina, nu. 20372/11, 11 aprilie 2013, constituie suficientă satisfacție echitabilă.</w:t>
            </w:r>
          </w:p>
        </w:tc>
      </w:tr>
      <w:tr w:rsidR="007D6568" w:rsidRPr="00074757" w14:paraId="6D52E20A" w14:textId="77777777" w:rsidTr="005F10B6">
        <w:tc>
          <w:tcPr>
            <w:tcW w:w="1227" w:type="dxa"/>
          </w:tcPr>
          <w:p w14:paraId="4B3B39AA" w14:textId="0B6B7C6C"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11</w:t>
            </w:r>
          </w:p>
        </w:tc>
        <w:tc>
          <w:tcPr>
            <w:tcW w:w="1203" w:type="dxa"/>
          </w:tcPr>
          <w:p w14:paraId="3A1FFA5C" w14:textId="559607F7"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Libertatea de întrunire și asociere</w:t>
            </w:r>
          </w:p>
        </w:tc>
        <w:tc>
          <w:tcPr>
            <w:tcW w:w="1506" w:type="dxa"/>
          </w:tcPr>
          <w:p w14:paraId="77D47FD3" w14:textId="3C951B6F" w:rsidR="007D6568" w:rsidRPr="00074757" w:rsidRDefault="007D6568" w:rsidP="00074757">
            <w:pPr>
              <w:widowControl w:val="0"/>
              <w:jc w:val="both"/>
              <w:rPr>
                <w:rFonts w:ascii="Times New Roman" w:hAnsi="Times New Roman" w:cs="Times New Roman"/>
                <w:sz w:val="24"/>
                <w:szCs w:val="24"/>
                <w:lang w:val="ro-RO"/>
              </w:rPr>
            </w:pPr>
            <w:r w:rsidRPr="00074757">
              <w:rPr>
                <w:rStyle w:val="s29100277"/>
                <w:rFonts w:ascii="Times New Roman" w:hAnsi="Times New Roman" w:cs="Times New Roman"/>
                <w:sz w:val="24"/>
                <w:szCs w:val="24"/>
              </w:rPr>
              <w:t xml:space="preserve">Krasnyanchuk și Kovalyov V. Ucraina, no. </w:t>
            </w:r>
            <w:r w:rsidRPr="00074757">
              <w:rPr>
                <w:rStyle w:val="column"/>
                <w:rFonts w:ascii="Times New Roman" w:hAnsi="Times New Roman" w:cs="Times New Roman"/>
                <w:sz w:val="24"/>
                <w:szCs w:val="24"/>
              </w:rPr>
              <w:t>40009/15 40118/15, hotărârea din 28/11/2024</w:t>
            </w:r>
          </w:p>
        </w:tc>
        <w:tc>
          <w:tcPr>
            <w:tcW w:w="1417" w:type="dxa"/>
          </w:tcPr>
          <w:p w14:paraId="4EFC6823" w14:textId="49C0FAD7" w:rsidR="007D6568" w:rsidRPr="00074757" w:rsidRDefault="00BF7D6A"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Ordine publică . Serie de proteste în masă</w:t>
            </w:r>
            <w:r w:rsidR="00102534" w:rsidRPr="00074757">
              <w:rPr>
                <w:rFonts w:ascii="Times New Roman" w:hAnsi="Times New Roman" w:cs="Times New Roman"/>
                <w:sz w:val="24"/>
                <w:szCs w:val="24"/>
                <w:lang w:val="ro-RO"/>
              </w:rPr>
              <w:t>.</w:t>
            </w:r>
            <w:r w:rsidRPr="00074757">
              <w:rPr>
                <w:rFonts w:ascii="Times New Roman" w:hAnsi="Times New Roman" w:cs="Times New Roman"/>
                <w:sz w:val="24"/>
                <w:szCs w:val="24"/>
                <w:lang w:val="ro-RO"/>
              </w:rPr>
              <w:t xml:space="preserve"> „Euromaidan” și/sau „Maidan”</w:t>
            </w:r>
          </w:p>
        </w:tc>
        <w:tc>
          <w:tcPr>
            <w:tcW w:w="6582" w:type="dxa"/>
          </w:tcPr>
          <w:p w14:paraId="2D9F9653" w14:textId="52A685D4" w:rsidR="00BF7D6A" w:rsidRPr="00074757" w:rsidRDefault="00BF7D6A"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 xml:space="preserve"> După ce a examinat materialul disponibil în prezenta cauză și ținând cont de complexitatea procedurilor relevante și de un anumit nivel de progres realizat la nivel intern (a se vedea paragraful 2 de mai sus), după cum a remarcat Guvernul în observațiile sale asupra fondului , Curtea nu discerne niciun fapt sau argument de natură să o convingă să ajungă la o concluzie diferită cu privire la fondul plângerilor similare ale reclamanților, care sunt susținute de documentele medicale relevante și informațiile oficiale din partea națională relevantă. proceduri.</w:t>
            </w:r>
          </w:p>
          <w:p w14:paraId="4433EA5F" w14:textId="4B355E79" w:rsidR="007D6568" w:rsidRPr="00074757" w:rsidRDefault="00BF7D6A"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În consecință, Curtea constată că la datele și în împrejurările prevăzute în tabelul anexat: (i) reclamanții au fost maltratați de către poliție și, în consecință, a avut loc o încălcare a articolului 3; (ii) autoritățile nu au reacționat în mod adecvat la problemele medicale rezultate ale reclamanților în timp ce aceștia erau în detenție și a existat și o încălcare a articolului 3 din acest motiv; (iii) reclamanții au fost reținuți cu încălcarea articolului 5 § 1; și (iv) au existat interferențe disproporționate în dreptul lor la libertatea de întrunire pașnică și, prin urmare, a existat o încălcare a articolului 11.</w:t>
            </w:r>
          </w:p>
        </w:tc>
        <w:tc>
          <w:tcPr>
            <w:tcW w:w="2977" w:type="dxa"/>
          </w:tcPr>
          <w:p w14:paraId="3E8BB7EC" w14:textId="49535AC6" w:rsidR="00AB76F5" w:rsidRPr="00074757" w:rsidRDefault="009F4765"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 xml:space="preserve">Având în vedere premiile acordate cu privire la prejudiciul moral din cauza Shmorgunov și alții și ținând cont de faptul că reclamanții au primit deja aproximativ 7.000 EUR fiecare </w:t>
            </w:r>
          </w:p>
          <w:p w14:paraId="579A5DE9" w14:textId="1DCE4914" w:rsidR="009F4765" w:rsidRPr="00074757" w:rsidRDefault="009F4765"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 xml:space="preserve">9.000 EUR </w:t>
            </w:r>
            <w:r w:rsidR="00AB76F5" w:rsidRPr="00074757">
              <w:rPr>
                <w:rFonts w:ascii="Times New Roman" w:hAnsi="Times New Roman" w:cs="Times New Roman"/>
                <w:sz w:val="24"/>
                <w:szCs w:val="24"/>
                <w:lang w:val="ro-RO"/>
              </w:rPr>
              <w:t xml:space="preserve">, </w:t>
            </w:r>
            <w:r w:rsidRPr="00074757">
              <w:rPr>
                <w:rFonts w:ascii="Times New Roman" w:hAnsi="Times New Roman" w:cs="Times New Roman"/>
                <w:sz w:val="24"/>
                <w:szCs w:val="24"/>
                <w:lang w:val="ro-RO"/>
              </w:rPr>
              <w:t>prejudiciul moral</w:t>
            </w:r>
            <w:r w:rsidR="00AB76F5" w:rsidRPr="00074757">
              <w:rPr>
                <w:rFonts w:ascii="Times New Roman" w:hAnsi="Times New Roman" w:cs="Times New Roman"/>
                <w:sz w:val="24"/>
                <w:szCs w:val="24"/>
                <w:lang w:val="ro-RO"/>
              </w:rPr>
              <w:t xml:space="preserve"> </w:t>
            </w:r>
          </w:p>
          <w:p w14:paraId="58119773" w14:textId="77777777" w:rsidR="009F4765" w:rsidRPr="00074757" w:rsidRDefault="009F4765" w:rsidP="00074757">
            <w:pPr>
              <w:widowControl w:val="0"/>
              <w:jc w:val="both"/>
              <w:rPr>
                <w:rFonts w:ascii="Times New Roman" w:hAnsi="Times New Roman" w:cs="Times New Roman"/>
                <w:sz w:val="24"/>
                <w:szCs w:val="24"/>
                <w:lang w:val="ro-RO"/>
              </w:rPr>
            </w:pPr>
          </w:p>
          <w:p w14:paraId="16B30852" w14:textId="1855BBC8" w:rsidR="007D6568" w:rsidRPr="00074757" w:rsidRDefault="00437084"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 xml:space="preserve">6.300 EUR </w:t>
            </w:r>
            <w:r w:rsidR="009F4765" w:rsidRPr="00074757">
              <w:rPr>
                <w:rFonts w:ascii="Times New Roman" w:hAnsi="Times New Roman" w:cs="Times New Roman"/>
                <w:sz w:val="24"/>
                <w:szCs w:val="24"/>
                <w:lang w:val="ro-RO"/>
              </w:rPr>
              <w:t>celui de-al doilea reclamant</w:t>
            </w:r>
            <w:r w:rsidRPr="00074757">
              <w:rPr>
                <w:rFonts w:ascii="Times New Roman" w:hAnsi="Times New Roman" w:cs="Times New Roman"/>
                <w:sz w:val="24"/>
                <w:szCs w:val="24"/>
                <w:lang w:val="ro-RO"/>
              </w:rPr>
              <w:t xml:space="preserve">, </w:t>
            </w:r>
            <w:r w:rsidR="009F4765" w:rsidRPr="00074757">
              <w:rPr>
                <w:rFonts w:ascii="Times New Roman" w:hAnsi="Times New Roman" w:cs="Times New Roman"/>
                <w:sz w:val="24"/>
                <w:szCs w:val="24"/>
                <w:lang w:val="ro-RO"/>
              </w:rPr>
              <w:t>cheltuieli de judecată</w:t>
            </w:r>
          </w:p>
        </w:tc>
      </w:tr>
      <w:tr w:rsidR="007D6568" w:rsidRPr="00074757" w14:paraId="74BC7B09" w14:textId="77777777" w:rsidTr="005F10B6">
        <w:tc>
          <w:tcPr>
            <w:tcW w:w="1227" w:type="dxa"/>
          </w:tcPr>
          <w:p w14:paraId="1FB698F0" w14:textId="14564B77"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11</w:t>
            </w:r>
          </w:p>
        </w:tc>
        <w:tc>
          <w:tcPr>
            <w:tcW w:w="1203" w:type="dxa"/>
          </w:tcPr>
          <w:p w14:paraId="3B15FA0B" w14:textId="538F9FBD"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Libertatea de întrunire și asociere</w:t>
            </w:r>
          </w:p>
        </w:tc>
        <w:tc>
          <w:tcPr>
            <w:tcW w:w="1506" w:type="dxa"/>
          </w:tcPr>
          <w:p w14:paraId="55263D14" w14:textId="0688DCA4" w:rsidR="007D6568" w:rsidRPr="00074757" w:rsidRDefault="007D6568" w:rsidP="00074757">
            <w:pPr>
              <w:widowControl w:val="0"/>
              <w:jc w:val="both"/>
              <w:rPr>
                <w:rFonts w:ascii="Times New Roman" w:hAnsi="Times New Roman" w:cs="Times New Roman"/>
                <w:sz w:val="24"/>
                <w:szCs w:val="24"/>
                <w:lang w:val="ro-RO"/>
              </w:rPr>
            </w:pPr>
            <w:r w:rsidRPr="00074757">
              <w:rPr>
                <w:rStyle w:val="s29100277"/>
                <w:rFonts w:ascii="Times New Roman" w:hAnsi="Times New Roman" w:cs="Times New Roman"/>
                <w:sz w:val="24"/>
                <w:szCs w:val="24"/>
              </w:rPr>
              <w:t xml:space="preserve">Karimli și Alții V. Azerbaijan, no. </w:t>
            </w:r>
            <w:r w:rsidRPr="00074757">
              <w:rPr>
                <w:rStyle w:val="column"/>
                <w:rFonts w:ascii="Times New Roman" w:hAnsi="Times New Roman" w:cs="Times New Roman"/>
                <w:sz w:val="24"/>
                <w:szCs w:val="24"/>
              </w:rPr>
              <w:t>8928/20, hotărârea din 14/11/2024</w:t>
            </w:r>
          </w:p>
        </w:tc>
        <w:tc>
          <w:tcPr>
            <w:tcW w:w="1417" w:type="dxa"/>
          </w:tcPr>
          <w:p w14:paraId="65CF382E" w14:textId="6EFD2F2A" w:rsidR="007D6568" w:rsidRPr="00074757" w:rsidRDefault="00601A7E" w:rsidP="00074757">
            <w:pPr>
              <w:widowControl w:val="0"/>
              <w:jc w:val="both"/>
              <w:rPr>
                <w:rFonts w:ascii="Times New Roman" w:hAnsi="Times New Roman" w:cs="Times New Roman"/>
                <w:sz w:val="24"/>
                <w:szCs w:val="24"/>
                <w:lang w:val="ro-RO"/>
              </w:rPr>
            </w:pPr>
            <w:r>
              <w:rPr>
                <w:rFonts w:ascii="Times New Roman" w:hAnsi="Times New Roman" w:cs="Times New Roman"/>
                <w:sz w:val="24"/>
                <w:szCs w:val="24"/>
                <w:lang w:val="ro-RO"/>
              </w:rPr>
              <w:t>Libertatea de întrunire, Dispoziițe legale nu îndeplinesc cerințele privind calitatea legii.</w:t>
            </w:r>
          </w:p>
        </w:tc>
        <w:tc>
          <w:tcPr>
            <w:tcW w:w="6582" w:type="dxa"/>
          </w:tcPr>
          <w:p w14:paraId="4F4790FE" w14:textId="39907893" w:rsidR="00D95189" w:rsidRPr="00074757" w:rsidRDefault="00D95189"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În cauza principală Mustafa Hajili și alții împotriva Azerbaidjanului, nr. 69483/13 și alții 2, 6 octombrie 2022, Curtea a constatat deja o încălcare în privința unor chestiuni similare celor din prezenta cauză.</w:t>
            </w:r>
          </w:p>
          <w:p w14:paraId="079235B2" w14:textId="44E2A0CA" w:rsidR="00D95189" w:rsidRPr="00074757" w:rsidRDefault="00D95189"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 xml:space="preserve">Examinând toate materialele care i-au fost prezentate, Curtea nu a constatat niciun fapt sau argument de natură să o convingă să ajungă la o concluzie diferită cu privire la admisibilitatea și fondul acestei plângeri. Având în vedere jurisprudența sa în materie, Curtea consideră că în speță ingerința în libertatea de întrunire a reclamanților fie s-a întemeiat pe dispoziții legale care nu îndeplinesc cerințele de „calitatea </w:t>
            </w:r>
            <w:r w:rsidR="00601A7E">
              <w:rPr>
                <w:rFonts w:ascii="Times New Roman" w:hAnsi="Times New Roman" w:cs="Times New Roman"/>
                <w:sz w:val="24"/>
                <w:szCs w:val="24"/>
                <w:lang w:val="ro-RO"/>
              </w:rPr>
              <w:t>legii</w:t>
            </w:r>
            <w:r w:rsidRPr="00074757">
              <w:rPr>
                <w:rFonts w:ascii="Times New Roman" w:hAnsi="Times New Roman" w:cs="Times New Roman"/>
                <w:sz w:val="24"/>
                <w:szCs w:val="24"/>
                <w:lang w:val="ro-RO"/>
              </w:rPr>
              <w:t xml:space="preserve">” ale Convenției, fie nu a </w:t>
            </w:r>
            <w:r w:rsidRPr="00074757">
              <w:rPr>
                <w:rFonts w:ascii="Times New Roman" w:hAnsi="Times New Roman" w:cs="Times New Roman"/>
                <w:sz w:val="24"/>
                <w:szCs w:val="24"/>
                <w:lang w:val="ro-RO"/>
              </w:rPr>
              <w:lastRenderedPageBreak/>
              <w:t>fost „necesar într-o societate democratică”.</w:t>
            </w:r>
          </w:p>
          <w:p w14:paraId="59AB3C9D" w14:textId="0128811D" w:rsidR="007D6568" w:rsidRPr="00074757" w:rsidRDefault="00D95189"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Prin urmare, această plângere este admisibilă și dezvăluie o încălcare a articolului 11 din Convenție.</w:t>
            </w:r>
          </w:p>
        </w:tc>
        <w:tc>
          <w:tcPr>
            <w:tcW w:w="2977" w:type="dxa"/>
          </w:tcPr>
          <w:p w14:paraId="45F0CFD4" w14:textId="77777777" w:rsidR="00CC27C0" w:rsidRPr="00074757" w:rsidRDefault="00CC27C0"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lastRenderedPageBreak/>
              <w:t>Fiecăruia</w:t>
            </w:r>
          </w:p>
          <w:p w14:paraId="21F6AA72" w14:textId="77777777" w:rsidR="00CC27C0" w:rsidRPr="00074757" w:rsidRDefault="00CC27C0"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1,500 euro pentru prejudiciu moral și 250 euro pentru cheltuieli</w:t>
            </w:r>
          </w:p>
          <w:p w14:paraId="53635F25" w14:textId="5AA90A22" w:rsidR="004A3372" w:rsidRPr="004A3372" w:rsidRDefault="00CC27C0" w:rsidP="00074757">
            <w:pPr>
              <w:widowControl w:val="0"/>
              <w:jc w:val="both"/>
              <w:rPr>
                <w:rFonts w:ascii="Times New Roman" w:hAnsi="Times New Roman" w:cs="Times New Roman"/>
                <w:sz w:val="24"/>
                <w:szCs w:val="24"/>
              </w:rPr>
            </w:pPr>
            <w:r w:rsidRPr="00074757">
              <w:rPr>
                <w:rFonts w:ascii="Times New Roman" w:hAnsi="Times New Roman" w:cs="Times New Roman"/>
                <w:sz w:val="24"/>
                <w:szCs w:val="24"/>
              </w:rPr>
              <w:t xml:space="preserve"> </w:t>
            </w:r>
            <w:r w:rsidR="004A3372" w:rsidRPr="004A3372">
              <w:rPr>
                <w:rFonts w:ascii="Times New Roman" w:hAnsi="Times New Roman" w:cs="Times New Roman"/>
                <w:sz w:val="24"/>
                <w:szCs w:val="24"/>
              </w:rPr>
              <w:t>Ali Amirhuseyn oglu KARIMLI</w:t>
            </w:r>
          </w:p>
          <w:p w14:paraId="4BFE0063" w14:textId="77777777" w:rsidR="004A3372" w:rsidRPr="004A3372" w:rsidRDefault="004A3372" w:rsidP="00074757">
            <w:pPr>
              <w:widowControl w:val="0"/>
              <w:jc w:val="both"/>
              <w:rPr>
                <w:rFonts w:ascii="Times New Roman" w:hAnsi="Times New Roman" w:cs="Times New Roman"/>
                <w:sz w:val="24"/>
                <w:szCs w:val="24"/>
              </w:rPr>
            </w:pPr>
            <w:r w:rsidRPr="004A3372">
              <w:rPr>
                <w:rFonts w:ascii="Times New Roman" w:hAnsi="Times New Roman" w:cs="Times New Roman"/>
                <w:sz w:val="24"/>
                <w:szCs w:val="24"/>
              </w:rPr>
              <w:t>Ilham Telman oglu HUSEYNOV</w:t>
            </w:r>
          </w:p>
          <w:p w14:paraId="7543E5EC" w14:textId="6E2F4E34" w:rsidR="004A3372" w:rsidRPr="004A3372" w:rsidRDefault="004A3372" w:rsidP="00074757">
            <w:pPr>
              <w:widowControl w:val="0"/>
              <w:jc w:val="both"/>
              <w:rPr>
                <w:rFonts w:ascii="Times New Roman" w:hAnsi="Times New Roman" w:cs="Times New Roman"/>
                <w:sz w:val="24"/>
                <w:szCs w:val="24"/>
              </w:rPr>
            </w:pPr>
            <w:r w:rsidRPr="004A3372">
              <w:rPr>
                <w:rFonts w:ascii="Times New Roman" w:hAnsi="Times New Roman" w:cs="Times New Roman"/>
                <w:sz w:val="24"/>
                <w:szCs w:val="24"/>
              </w:rPr>
              <w:t>Vahid Ayyub oglu MAHARRAMOV</w:t>
            </w:r>
          </w:p>
          <w:p w14:paraId="66947725" w14:textId="236B2D08" w:rsidR="004A3372" w:rsidRPr="004A3372" w:rsidRDefault="004A3372" w:rsidP="00074757">
            <w:pPr>
              <w:widowControl w:val="0"/>
              <w:jc w:val="both"/>
              <w:rPr>
                <w:rFonts w:ascii="Times New Roman" w:hAnsi="Times New Roman" w:cs="Times New Roman"/>
                <w:sz w:val="24"/>
                <w:szCs w:val="24"/>
              </w:rPr>
            </w:pPr>
            <w:r w:rsidRPr="004A3372">
              <w:rPr>
                <w:rFonts w:ascii="Times New Roman" w:hAnsi="Times New Roman" w:cs="Times New Roman"/>
                <w:sz w:val="24"/>
                <w:szCs w:val="24"/>
              </w:rPr>
              <w:t xml:space="preserve">Nuraddin Musa oglu </w:t>
            </w:r>
            <w:r w:rsidRPr="004A3372">
              <w:rPr>
                <w:rFonts w:ascii="Times New Roman" w:hAnsi="Times New Roman" w:cs="Times New Roman"/>
                <w:sz w:val="24"/>
                <w:szCs w:val="24"/>
              </w:rPr>
              <w:lastRenderedPageBreak/>
              <w:t>MAMMADLI</w:t>
            </w:r>
          </w:p>
          <w:p w14:paraId="19412F33" w14:textId="5882F994" w:rsidR="004A3372" w:rsidRPr="00074757" w:rsidRDefault="004A3372" w:rsidP="00074757">
            <w:pPr>
              <w:widowControl w:val="0"/>
              <w:jc w:val="both"/>
              <w:rPr>
                <w:rFonts w:ascii="Times New Roman" w:hAnsi="Times New Roman" w:cs="Times New Roman"/>
                <w:sz w:val="24"/>
                <w:szCs w:val="24"/>
                <w:lang w:val="ro-RO"/>
              </w:rPr>
            </w:pPr>
            <w:r w:rsidRPr="004A3372">
              <w:rPr>
                <w:rFonts w:ascii="Times New Roman" w:hAnsi="Times New Roman" w:cs="Times New Roman"/>
                <w:sz w:val="24"/>
                <w:szCs w:val="24"/>
              </w:rPr>
              <w:t>Emil Rafig oglu SALIMOV</w:t>
            </w:r>
          </w:p>
        </w:tc>
      </w:tr>
      <w:tr w:rsidR="007D6568" w:rsidRPr="00074757" w14:paraId="35E49C59" w14:textId="77777777" w:rsidTr="005F10B6">
        <w:tc>
          <w:tcPr>
            <w:tcW w:w="1227" w:type="dxa"/>
          </w:tcPr>
          <w:p w14:paraId="4B3A43C5" w14:textId="1FDFB8CF"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lastRenderedPageBreak/>
              <w:t>11</w:t>
            </w:r>
          </w:p>
        </w:tc>
        <w:tc>
          <w:tcPr>
            <w:tcW w:w="1203" w:type="dxa"/>
          </w:tcPr>
          <w:p w14:paraId="1546B9EE" w14:textId="3DC5AD4D"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Libertatea de întrunire și asociere</w:t>
            </w:r>
          </w:p>
        </w:tc>
        <w:tc>
          <w:tcPr>
            <w:tcW w:w="1506" w:type="dxa"/>
          </w:tcPr>
          <w:p w14:paraId="5557AAD6" w14:textId="245D36C7" w:rsidR="007D6568" w:rsidRPr="00074757" w:rsidRDefault="00BB691C" w:rsidP="00074757">
            <w:pPr>
              <w:widowControl w:val="0"/>
              <w:jc w:val="both"/>
              <w:rPr>
                <w:rFonts w:ascii="Times New Roman" w:hAnsi="Times New Roman" w:cs="Times New Roman"/>
                <w:sz w:val="24"/>
                <w:szCs w:val="24"/>
                <w:lang w:val="ro-RO"/>
              </w:rPr>
            </w:pPr>
            <w:r w:rsidRPr="00074757">
              <w:rPr>
                <w:rStyle w:val="s29100277"/>
                <w:rFonts w:ascii="Times New Roman" w:hAnsi="Times New Roman" w:cs="Times New Roman"/>
                <w:sz w:val="24"/>
                <w:szCs w:val="24"/>
              </w:rPr>
              <w:t xml:space="preserve">Bakradze V. Georgia, no. </w:t>
            </w:r>
            <w:r w:rsidRPr="00074757">
              <w:rPr>
                <w:rStyle w:val="column"/>
                <w:rFonts w:ascii="Times New Roman" w:hAnsi="Times New Roman" w:cs="Times New Roman"/>
                <w:sz w:val="24"/>
                <w:szCs w:val="24"/>
              </w:rPr>
              <w:t>20592/21, hotărârea din 07/11/2024</w:t>
            </w:r>
          </w:p>
        </w:tc>
        <w:tc>
          <w:tcPr>
            <w:tcW w:w="1417" w:type="dxa"/>
          </w:tcPr>
          <w:p w14:paraId="0D63A47D" w14:textId="17CD828E" w:rsidR="00080B2A" w:rsidRPr="00074757" w:rsidRDefault="00080B2A"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Interzicerea discriminării</w:t>
            </w:r>
            <w:r w:rsidR="00601A7E">
              <w:rPr>
                <w:rFonts w:ascii="Times New Roman" w:hAnsi="Times New Roman" w:cs="Times New Roman"/>
                <w:sz w:val="24"/>
                <w:szCs w:val="24"/>
                <w:lang w:val="ro-RO"/>
              </w:rPr>
              <w:t>,</w:t>
            </w:r>
          </w:p>
          <w:p w14:paraId="42AA171E" w14:textId="512872EB" w:rsidR="00080B2A" w:rsidRPr="00074757" w:rsidRDefault="00080B2A"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Discriminare</w:t>
            </w:r>
            <w:r w:rsidR="00601A7E">
              <w:rPr>
                <w:rFonts w:ascii="Times New Roman" w:hAnsi="Times New Roman" w:cs="Times New Roman"/>
                <w:sz w:val="24"/>
                <w:szCs w:val="24"/>
                <w:lang w:val="ro-RO"/>
              </w:rPr>
              <w:t>,</w:t>
            </w:r>
          </w:p>
          <w:p w14:paraId="1245C43A" w14:textId="78A1C0BC" w:rsidR="00080B2A" w:rsidRPr="00074757" w:rsidRDefault="00080B2A"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Libertatea de exprimar</w:t>
            </w:r>
            <w:r w:rsidR="00601A7E">
              <w:rPr>
                <w:rFonts w:ascii="Times New Roman" w:hAnsi="Times New Roman" w:cs="Times New Roman"/>
                <w:sz w:val="24"/>
                <w:szCs w:val="24"/>
                <w:lang w:val="ro-RO"/>
              </w:rPr>
              <w:t>e,</w:t>
            </w:r>
          </w:p>
          <w:p w14:paraId="19858EE2" w14:textId="5FA359EF" w:rsidR="00080B2A" w:rsidRPr="00074757" w:rsidRDefault="00080B2A"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Libertatea de exprimare-general</w:t>
            </w:r>
            <w:r w:rsidR="00601A7E">
              <w:rPr>
                <w:rFonts w:ascii="Times New Roman" w:hAnsi="Times New Roman" w:cs="Times New Roman"/>
                <w:sz w:val="24"/>
                <w:szCs w:val="24"/>
                <w:lang w:val="ro-RO"/>
              </w:rPr>
              <w:t>,</w:t>
            </w:r>
          </w:p>
          <w:p w14:paraId="33C73537" w14:textId="273AAD0D" w:rsidR="00080B2A" w:rsidRPr="00074757" w:rsidRDefault="00080B2A"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Libertatea de întrunire și asociere</w:t>
            </w:r>
            <w:r w:rsidR="00601A7E">
              <w:rPr>
                <w:rFonts w:ascii="Times New Roman" w:hAnsi="Times New Roman" w:cs="Times New Roman"/>
                <w:sz w:val="24"/>
                <w:szCs w:val="24"/>
                <w:lang w:val="ro-RO"/>
              </w:rPr>
              <w:t>,</w:t>
            </w:r>
          </w:p>
          <w:p w14:paraId="39E00E6F" w14:textId="110D9561" w:rsidR="007D6568" w:rsidRPr="00074757" w:rsidRDefault="00080B2A"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Libertatea de asociere</w:t>
            </w:r>
            <w:r w:rsidR="00601A7E">
              <w:rPr>
                <w:rFonts w:ascii="Times New Roman" w:hAnsi="Times New Roman" w:cs="Times New Roman"/>
                <w:sz w:val="24"/>
                <w:szCs w:val="24"/>
                <w:lang w:val="ro-RO"/>
              </w:rPr>
              <w:t>.</w:t>
            </w:r>
          </w:p>
        </w:tc>
        <w:tc>
          <w:tcPr>
            <w:tcW w:w="6582" w:type="dxa"/>
          </w:tcPr>
          <w:p w14:paraId="48D97030" w14:textId="2928C5D8" w:rsidR="005C7AC6" w:rsidRPr="00074757" w:rsidRDefault="005C7AC6"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Articolul 11</w:t>
            </w:r>
            <w:r w:rsidR="009163D0" w:rsidRPr="00074757">
              <w:rPr>
                <w:rFonts w:ascii="Times New Roman" w:hAnsi="Times New Roman" w:cs="Times New Roman"/>
                <w:sz w:val="24"/>
                <w:szCs w:val="24"/>
                <w:lang w:val="ro-RO"/>
              </w:rPr>
              <w:t xml:space="preserve"> </w:t>
            </w:r>
            <w:r w:rsidRPr="00074757">
              <w:rPr>
                <w:rFonts w:ascii="Times New Roman" w:hAnsi="Times New Roman" w:cs="Times New Roman"/>
                <w:sz w:val="24"/>
                <w:szCs w:val="24"/>
                <w:lang w:val="ro-RO"/>
              </w:rPr>
              <w:t>din Convenție protejează doar dreptul la „întâlnire pașnică”, noțiune care nu acoperă o demonstrație în care organizatorii și participanții au intenții violente. Prin urmare, garanțiile articolului 11 se aplică tuturor adunărilor, cu excepția celor în care organizatorii și participanții au astfel de intenții, incită la violență sau resping în alt mod bazele unei societăți democratice (a se vedea Kudrevičius și alții, citat mai sus, § 92).</w:t>
            </w:r>
          </w:p>
          <w:p w14:paraId="3439B22D" w14:textId="1C3AA9D7" w:rsidR="005C7AC6" w:rsidRPr="00074757" w:rsidRDefault="005C7AC6"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Pentru a stabili dacă un reclamant poate pretinde protecția articolului 11, Curtea ia în considerare (i) dacă adunarea a fost destinată să fie pașnică sau dacă organizatorii au avut intenții violente; (ii) dacă reclamantul a demonstrat intenții violente atunci când s-a alăturat adunării; și (iii) dacă reclamantul a provocat vătămare corporală cuiva (a se vedea Shmorgunov și alții împotriva Ucrainei, nr. 15367/14 și alții 13, § 491, 21 ianuarie 2021). Acesta notează că, în cazul în care ambele părți – demonstranții și poliția – au fost implicate în acte violente, uneori este necesar să se examineze cine a început violența (a se vedea Primov și alții împotriva Rusiei, nr. 17391/06, § 157, 12 iunie 2014).</w:t>
            </w:r>
          </w:p>
          <w:p w14:paraId="24752A36" w14:textId="77777777" w:rsidR="005C7AC6" w:rsidRPr="00074757" w:rsidRDefault="005C7AC6"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 xml:space="preserve"> Trebuie remarcat faptul că o persoană nu încetează să se bucure de dreptul la libertatea de întrunire pașnică ca urmare a violenței sporadice sau a altor acte pedepsite săvârșite de alții în cursul demonstrației, dacă persoana în cauză rămâne pașnică în sine. intenții sau comportament. Posibilitatea ca persoane cu intenții violente, care nu sunt membre ale asociației organizatoare, să se alăture manifestației nu poate înlătura ca atare acest drept. Chiar dacă există un risc real ca o demonstrație publică să conducă la dezordine ca urmare a unor evoluții în afara controlului celor care o organizează, o astfel de demonstrație nu intră ca atare în domeniul de aplicare al paragrafului 1 al articolului 11 și orice restricție impusă. aceasta trebuie să fie în conformitate cu termenii paragrafului 2 al acestei dispoziții (a se vedea Kudrevičius și alții, citată mai sus, § 94).</w:t>
            </w:r>
          </w:p>
          <w:p w14:paraId="3DE1267E" w14:textId="77777777" w:rsidR="005C7AC6" w:rsidRPr="00074757" w:rsidRDefault="005C7AC6" w:rsidP="00074757">
            <w:pPr>
              <w:widowControl w:val="0"/>
              <w:jc w:val="both"/>
              <w:rPr>
                <w:rFonts w:ascii="Times New Roman" w:hAnsi="Times New Roman" w:cs="Times New Roman"/>
                <w:sz w:val="24"/>
                <w:szCs w:val="24"/>
                <w:lang w:val="ro-RO"/>
              </w:rPr>
            </w:pPr>
          </w:p>
          <w:p w14:paraId="018E978E" w14:textId="77777777" w:rsidR="005C7AC6" w:rsidRPr="00074757" w:rsidRDefault="005C7AC6"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 xml:space="preserve">Sarcina de a dovedi intențiile violente ale organizatorilor unei demonstrații revine autorităților (a se vedea Partidul Popular </w:t>
            </w:r>
            <w:r w:rsidRPr="00074757">
              <w:rPr>
                <w:rFonts w:ascii="Times New Roman" w:hAnsi="Times New Roman" w:cs="Times New Roman"/>
                <w:sz w:val="24"/>
                <w:szCs w:val="24"/>
                <w:lang w:val="ro-RO"/>
              </w:rPr>
              <w:lastRenderedPageBreak/>
              <w:t>Creștin Democrat c. Moldova (nr. 2), nr. 25196/04, § 23, 2 februarie 2010).</w:t>
            </w:r>
          </w:p>
          <w:p w14:paraId="5658C5A7" w14:textId="77777777" w:rsidR="005C7AC6" w:rsidRPr="00074757" w:rsidRDefault="005C7AC6" w:rsidP="00074757">
            <w:pPr>
              <w:widowControl w:val="0"/>
              <w:jc w:val="both"/>
              <w:rPr>
                <w:rFonts w:ascii="Times New Roman" w:hAnsi="Times New Roman" w:cs="Times New Roman"/>
                <w:sz w:val="24"/>
                <w:szCs w:val="24"/>
                <w:lang w:val="ro-RO"/>
              </w:rPr>
            </w:pPr>
          </w:p>
          <w:p w14:paraId="6751E4D8" w14:textId="119263B1" w:rsidR="005C7AC6" w:rsidRPr="00074757" w:rsidRDefault="005C7AC6" w:rsidP="00074757">
            <w:pPr>
              <w:widowControl w:val="0"/>
              <w:jc w:val="both"/>
              <w:rPr>
                <w:rFonts w:ascii="Times New Roman" w:hAnsi="Times New Roman" w:cs="Times New Roman"/>
                <w:sz w:val="24"/>
                <w:szCs w:val="24"/>
              </w:rPr>
            </w:pPr>
            <w:r w:rsidRPr="00074757">
              <w:rPr>
                <w:rFonts w:ascii="Times New Roman" w:hAnsi="Times New Roman" w:cs="Times New Roman"/>
                <w:sz w:val="24"/>
                <w:szCs w:val="24"/>
                <w:lang w:val="ro-RO"/>
              </w:rPr>
              <w:t>În opinia Curții, deși nu este un eveniment neobișnuit în contextul exercitării libertății de întrunire în societățile moderne, comportamentul fizic care obstrucționează în mod intenționat traficul și cursul obișnuit al vieții în scopul perturbării serioase a activităților desfășurate de alții nu constituie nucleul acestei libertăți așa cum este protejat de articolul 11 ​​din convenție. Această stare de fapt ar putea avea implicații pentru orice evaluare a „necesității” care trebuie efectuată în temeiul articolului 11 al doilea paragraf (a se vedea Kudrevičius și alții, citată mai sus, § 97).</w:t>
            </w:r>
          </w:p>
          <w:p w14:paraId="63968AF8" w14:textId="4BC519B8" w:rsidR="007D6568" w:rsidRPr="00074757" w:rsidRDefault="005C7AC6"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Curtea reiterează că termenul „restricții” din articolul 11 ​​§ 2 trebuie interpretat ca incluzând atât măsurile luate înainte sau în timpul unei întruniri, cât și pe cele, cum ar fi măsurile punitive, luate ulterior (a se vedea Navalnyy, citată mai sus, § 103, cu referințe suplimentare). ). Astfel, o ingerință poate consta, printre altele, în dispersarea unei adunări sau arestarea participanților și sancțiuni impuse pentru participarea la o adunare.</w:t>
            </w:r>
          </w:p>
        </w:tc>
        <w:tc>
          <w:tcPr>
            <w:tcW w:w="2977" w:type="dxa"/>
          </w:tcPr>
          <w:p w14:paraId="215E3359" w14:textId="22991068" w:rsidR="00177971" w:rsidRPr="00074757" w:rsidRDefault="00177971"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lastRenderedPageBreak/>
              <w:t xml:space="preserve">4.500 EUR plus orice impozit care poate fi exigibil, cu privire la prejudiciul moral, </w:t>
            </w:r>
          </w:p>
        </w:tc>
      </w:tr>
      <w:tr w:rsidR="007D6568" w:rsidRPr="00074757" w14:paraId="2F647591" w14:textId="77777777" w:rsidTr="005F10B6">
        <w:tc>
          <w:tcPr>
            <w:tcW w:w="1227" w:type="dxa"/>
          </w:tcPr>
          <w:p w14:paraId="1E4ED2F5" w14:textId="70BB4FCF"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11</w:t>
            </w:r>
          </w:p>
        </w:tc>
        <w:tc>
          <w:tcPr>
            <w:tcW w:w="1203" w:type="dxa"/>
          </w:tcPr>
          <w:p w14:paraId="50FFC590" w14:textId="630ADFBD"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Libertatea de întrunire și asociere</w:t>
            </w:r>
          </w:p>
        </w:tc>
        <w:tc>
          <w:tcPr>
            <w:tcW w:w="1506" w:type="dxa"/>
          </w:tcPr>
          <w:p w14:paraId="7F4B06DE" w14:textId="4DF6458D" w:rsidR="007D6568" w:rsidRPr="00074757" w:rsidRDefault="00333B64" w:rsidP="00074757">
            <w:pPr>
              <w:widowControl w:val="0"/>
              <w:jc w:val="both"/>
              <w:rPr>
                <w:rFonts w:ascii="Times New Roman" w:hAnsi="Times New Roman" w:cs="Times New Roman"/>
                <w:sz w:val="24"/>
                <w:szCs w:val="24"/>
                <w:lang w:val="ro-RO"/>
              </w:rPr>
            </w:pPr>
            <w:r w:rsidRPr="00074757">
              <w:rPr>
                <w:rStyle w:val="s29100277"/>
                <w:rFonts w:ascii="Times New Roman" w:hAnsi="Times New Roman" w:cs="Times New Roman"/>
                <w:sz w:val="24"/>
                <w:szCs w:val="24"/>
              </w:rPr>
              <w:t>Cheremskyy V. U</w:t>
            </w:r>
            <w:r w:rsidR="00C204B9" w:rsidRPr="00074757">
              <w:rPr>
                <w:rStyle w:val="s29100277"/>
                <w:rFonts w:ascii="Times New Roman" w:hAnsi="Times New Roman" w:cs="Times New Roman"/>
                <w:sz w:val="24"/>
                <w:szCs w:val="24"/>
              </w:rPr>
              <w:t>c</w:t>
            </w:r>
            <w:r w:rsidRPr="00074757">
              <w:rPr>
                <w:rStyle w:val="s29100277"/>
                <w:rFonts w:ascii="Times New Roman" w:hAnsi="Times New Roman" w:cs="Times New Roman"/>
                <w:sz w:val="24"/>
                <w:szCs w:val="24"/>
              </w:rPr>
              <w:t>rain</w:t>
            </w:r>
            <w:r w:rsidR="00C204B9" w:rsidRPr="00074757">
              <w:rPr>
                <w:rStyle w:val="s29100277"/>
                <w:rFonts w:ascii="Times New Roman" w:hAnsi="Times New Roman" w:cs="Times New Roman"/>
                <w:sz w:val="24"/>
                <w:szCs w:val="24"/>
              </w:rPr>
              <w:t>a</w:t>
            </w:r>
            <w:r w:rsidR="002163D5" w:rsidRPr="00074757">
              <w:rPr>
                <w:rStyle w:val="s29100277"/>
                <w:rFonts w:ascii="Times New Roman" w:hAnsi="Times New Roman" w:cs="Times New Roman"/>
                <w:sz w:val="24"/>
                <w:szCs w:val="24"/>
              </w:rPr>
              <w:t xml:space="preserve">, no. </w:t>
            </w:r>
            <w:r w:rsidR="00685439" w:rsidRPr="00074757">
              <w:rPr>
                <w:rStyle w:val="column"/>
                <w:rFonts w:ascii="Times New Roman" w:hAnsi="Times New Roman" w:cs="Times New Roman"/>
                <w:sz w:val="24"/>
                <w:szCs w:val="24"/>
              </w:rPr>
              <w:t xml:space="preserve">20981/13, hotărârea din </w:t>
            </w:r>
            <w:r w:rsidR="009A0543" w:rsidRPr="00074757">
              <w:rPr>
                <w:rStyle w:val="column"/>
                <w:rFonts w:ascii="Times New Roman" w:hAnsi="Times New Roman" w:cs="Times New Roman"/>
                <w:sz w:val="24"/>
                <w:szCs w:val="24"/>
              </w:rPr>
              <w:t>07/12/2023</w:t>
            </w:r>
          </w:p>
        </w:tc>
        <w:tc>
          <w:tcPr>
            <w:tcW w:w="1417" w:type="dxa"/>
          </w:tcPr>
          <w:p w14:paraId="2584484F" w14:textId="61A50F1C" w:rsidR="007D6568" w:rsidRPr="00074757" w:rsidRDefault="003E6FF2" w:rsidP="00074757">
            <w:pPr>
              <w:widowControl w:val="0"/>
              <w:jc w:val="both"/>
              <w:rPr>
                <w:rFonts w:ascii="Times New Roman" w:hAnsi="Times New Roman" w:cs="Times New Roman"/>
                <w:sz w:val="24"/>
                <w:szCs w:val="24"/>
                <w:lang w:val="ro-RO"/>
              </w:rPr>
            </w:pPr>
            <w:r>
              <w:rPr>
                <w:rFonts w:ascii="Times New Roman" w:hAnsi="Times New Roman" w:cs="Times New Roman"/>
                <w:sz w:val="24"/>
                <w:szCs w:val="24"/>
                <w:lang w:val="ro-RO"/>
              </w:rPr>
              <w:t>Libertate de întrunire, întrunire pașnică, Interesul populației locale.</w:t>
            </w:r>
          </w:p>
        </w:tc>
        <w:tc>
          <w:tcPr>
            <w:tcW w:w="6582" w:type="dxa"/>
          </w:tcPr>
          <w:p w14:paraId="65BB5A90" w14:textId="77777777" w:rsidR="007D6568" w:rsidRPr="00074757" w:rsidRDefault="001D4257"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Curtea reiterează că dreptul la libertatea de întrunire este consacrat în articolul 11 din Convenție este un drept fundamental într-o societate democratică și, ca și dreptul la libertatea de exprimare, este unul dintre fundamentele unei astfel de societăți. Prin urmare, nu trebuie interpretat restrictiv. Ca atare acest drept acoperă atât întâlnirile private, cât și întâlnirile din locuri publice, fie ele statice sau sub formă de procesiune; în plus, poate fi exercitat de participanții individuali și de persoanele care organizează adunarea.</w:t>
            </w:r>
          </w:p>
          <w:p w14:paraId="6C8DD1A7" w14:textId="77777777" w:rsidR="001D4257" w:rsidRPr="00074757" w:rsidRDefault="001D4257" w:rsidP="00074757">
            <w:pPr>
              <w:widowControl w:val="0"/>
              <w:jc w:val="both"/>
              <w:rPr>
                <w:rFonts w:ascii="Times New Roman" w:hAnsi="Times New Roman" w:cs="Times New Roman"/>
                <w:sz w:val="24"/>
                <w:szCs w:val="24"/>
                <w:lang w:val="ro-RO"/>
              </w:rPr>
            </w:pPr>
          </w:p>
          <w:p w14:paraId="719FD2EA" w14:textId="77777777" w:rsidR="001D4257" w:rsidRPr="00074757" w:rsidRDefault="00A454EC"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 xml:space="preserve">în lipsa de claritate cu privire la criteriile de impunere a restricțiilor libertății de întrunire, autoritățile locale și instanțele au făcut o serie de ipoteze care ar putea fi văzute ca făcând practic imposibilă orice decizie care să permită desfășurarea unei întruniri pașnice. Curtea este deosebit de preocupată de cerința impusă reclamantului de a dovedi că adunarea sa nu a fost contrară intereselor populației locale. Dacă această cerință este înțeleasă ca referindu-se la „interese” în sensul general obișnuit al cuvântului, este important </w:t>
            </w:r>
            <w:r w:rsidRPr="00074757">
              <w:rPr>
                <w:rFonts w:ascii="Times New Roman" w:hAnsi="Times New Roman" w:cs="Times New Roman"/>
                <w:sz w:val="24"/>
                <w:szCs w:val="24"/>
                <w:lang w:val="ro-RO"/>
              </w:rPr>
              <w:lastRenderedPageBreak/>
              <w:t>de subliniat că ar fi incompatibilă cu valorile subiacente ale Convenției dacă exercitarea drepturilor Convenției de către persoane care au opinii dizidente – ca autoritățile par să fi sugerat în cazul reclamantului – au fost condiționate de acceptarea acesteia de către majoritate (a se vedea, mutatis mutandis, Barankevich v. Rusia, nr. 10519/03, § 31, 26 iulie 2007). Mai mult, o asemenea cerință ar părea a constitui o sarcină imposibilă pentru oricine dorește să se adune în mod pașnic și să exprime opinii, mai ales atunci când astfel de opinii nu sunt favorabile celor care sunt responsabili de asigurarea dreptului la întrunire pașnică și, în plus, pare să părăsească eliberarea permisiunii pentru orice adunare din oraș la latitudinea deplină și neîngrădită a autorităților locale.</w:t>
            </w:r>
          </w:p>
          <w:p w14:paraId="7D9D3AB5" w14:textId="77777777" w:rsidR="00A454EC" w:rsidRPr="00074757" w:rsidRDefault="00A454EC" w:rsidP="00074757">
            <w:pPr>
              <w:widowControl w:val="0"/>
              <w:jc w:val="both"/>
              <w:rPr>
                <w:rFonts w:ascii="Times New Roman" w:hAnsi="Times New Roman" w:cs="Times New Roman"/>
                <w:sz w:val="24"/>
                <w:szCs w:val="24"/>
                <w:lang w:val="ro-RO"/>
              </w:rPr>
            </w:pPr>
          </w:p>
          <w:p w14:paraId="1F905F99" w14:textId="77777777" w:rsidR="0048523E" w:rsidRPr="00074757" w:rsidRDefault="0048523E"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Curtea consideră că restrângerea dreptului reclamantului de a ține o întrunire nu a fost întemeiată pe dispoziții legale care îndeplineau cerințele Convenției privind calitatea legii.</w:t>
            </w:r>
          </w:p>
          <w:p w14:paraId="5ED6D431" w14:textId="1249F80C" w:rsidR="00A454EC" w:rsidRPr="00074757" w:rsidRDefault="0048523E"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 xml:space="preserve"> Ajunsă la această concluzie, Curtea nu trebuie să verifice dacă celelalte două cerințe (scopul legitim și necesitatea ingerinței) prevăzute la articolul 11§ 2 au fost respectate.</w:t>
            </w:r>
          </w:p>
        </w:tc>
        <w:tc>
          <w:tcPr>
            <w:tcW w:w="2977" w:type="dxa"/>
          </w:tcPr>
          <w:p w14:paraId="14D12F17" w14:textId="0116EDE1" w:rsidR="006631B2" w:rsidRPr="00074757" w:rsidRDefault="006631B2"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lastRenderedPageBreak/>
              <w:t xml:space="preserve">3.000 EUR </w:t>
            </w:r>
          </w:p>
          <w:p w14:paraId="72973F4E" w14:textId="4F95AAAB" w:rsidR="007D6568" w:rsidRPr="00074757" w:rsidRDefault="007577E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P</w:t>
            </w:r>
            <w:r w:rsidR="006631B2" w:rsidRPr="00074757">
              <w:rPr>
                <w:rFonts w:ascii="Times New Roman" w:hAnsi="Times New Roman" w:cs="Times New Roman"/>
                <w:sz w:val="24"/>
                <w:szCs w:val="24"/>
                <w:lang w:val="ro-RO"/>
              </w:rPr>
              <w:t>rejudiciu</w:t>
            </w:r>
            <w:r>
              <w:rPr>
                <w:rFonts w:ascii="Times New Roman" w:hAnsi="Times New Roman" w:cs="Times New Roman"/>
                <w:sz w:val="24"/>
                <w:szCs w:val="24"/>
                <w:lang w:val="ro-RO"/>
              </w:rPr>
              <w:t>.</w:t>
            </w:r>
          </w:p>
        </w:tc>
      </w:tr>
      <w:tr w:rsidR="007D6568" w:rsidRPr="00074757" w14:paraId="3DC22EF3" w14:textId="77777777" w:rsidTr="005F10B6">
        <w:tc>
          <w:tcPr>
            <w:tcW w:w="1227" w:type="dxa"/>
          </w:tcPr>
          <w:p w14:paraId="53AA9C01" w14:textId="40981507"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11</w:t>
            </w:r>
          </w:p>
        </w:tc>
        <w:tc>
          <w:tcPr>
            <w:tcW w:w="1203" w:type="dxa"/>
          </w:tcPr>
          <w:p w14:paraId="532FB6B1" w14:textId="5E57F0C4"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Libertatea de întrunire și asociere</w:t>
            </w:r>
          </w:p>
        </w:tc>
        <w:tc>
          <w:tcPr>
            <w:tcW w:w="1506" w:type="dxa"/>
          </w:tcPr>
          <w:p w14:paraId="68808674" w14:textId="01430A5C" w:rsidR="007D6568" w:rsidRPr="00074757" w:rsidRDefault="00612EF9" w:rsidP="00074757">
            <w:pPr>
              <w:widowControl w:val="0"/>
              <w:jc w:val="both"/>
              <w:rPr>
                <w:rFonts w:ascii="Times New Roman" w:hAnsi="Times New Roman" w:cs="Times New Roman"/>
                <w:sz w:val="24"/>
                <w:szCs w:val="24"/>
                <w:lang w:val="ro-RO"/>
              </w:rPr>
            </w:pPr>
            <w:r w:rsidRPr="00074757">
              <w:rPr>
                <w:rStyle w:val="s29100277"/>
                <w:rFonts w:ascii="Times New Roman" w:hAnsi="Times New Roman" w:cs="Times New Roman"/>
                <w:sz w:val="24"/>
                <w:szCs w:val="24"/>
              </w:rPr>
              <w:t xml:space="preserve">Laurijsen și Alții V. Regatul Țărilor de Jos, no. </w:t>
            </w:r>
            <w:r w:rsidR="00800C3D" w:rsidRPr="00074757">
              <w:rPr>
                <w:rStyle w:val="textcolumn"/>
                <w:rFonts w:ascii="Times New Roman" w:hAnsi="Times New Roman" w:cs="Times New Roman"/>
                <w:sz w:val="24"/>
                <w:szCs w:val="24"/>
              </w:rPr>
              <w:t>56896/17 et al, hotărârea din</w:t>
            </w:r>
            <w:r w:rsidR="00A368CA" w:rsidRPr="00074757">
              <w:rPr>
                <w:rStyle w:val="textcolumn"/>
                <w:rFonts w:ascii="Times New Roman" w:hAnsi="Times New Roman" w:cs="Times New Roman"/>
                <w:sz w:val="24"/>
                <w:szCs w:val="24"/>
              </w:rPr>
              <w:t xml:space="preserve"> </w:t>
            </w:r>
            <w:r w:rsidR="00A368CA" w:rsidRPr="00074757">
              <w:rPr>
                <w:rStyle w:val="column"/>
                <w:rFonts w:ascii="Times New Roman" w:hAnsi="Times New Roman" w:cs="Times New Roman"/>
                <w:sz w:val="24"/>
                <w:szCs w:val="24"/>
              </w:rPr>
              <w:t>21/11/2023</w:t>
            </w:r>
          </w:p>
        </w:tc>
        <w:tc>
          <w:tcPr>
            <w:tcW w:w="1417" w:type="dxa"/>
          </w:tcPr>
          <w:p w14:paraId="5FA522C9" w14:textId="3DBA3F24" w:rsidR="00D97ABB" w:rsidRPr="00074757" w:rsidRDefault="00D97ABB"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Libertatea de întrunire și asociere</w:t>
            </w:r>
            <w:r w:rsidR="00DE7010">
              <w:rPr>
                <w:rFonts w:ascii="Times New Roman" w:hAnsi="Times New Roman" w:cs="Times New Roman"/>
                <w:sz w:val="24"/>
                <w:szCs w:val="24"/>
                <w:lang w:val="ro-RO"/>
              </w:rPr>
              <w:t>,</w:t>
            </w:r>
          </w:p>
          <w:p w14:paraId="5D34533B" w14:textId="5EDAAB42" w:rsidR="00D97ABB" w:rsidRPr="00074757" w:rsidRDefault="00D97ABB"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Libertatea de întrunire pașnică</w:t>
            </w:r>
            <w:r w:rsidR="00DE7010">
              <w:rPr>
                <w:rFonts w:ascii="Times New Roman" w:hAnsi="Times New Roman" w:cs="Times New Roman"/>
                <w:sz w:val="24"/>
                <w:szCs w:val="24"/>
                <w:lang w:val="ro-RO"/>
              </w:rPr>
              <w:t>,</w:t>
            </w:r>
          </w:p>
          <w:p w14:paraId="34C04AE9" w14:textId="69BE1F0E" w:rsidR="00D97ABB" w:rsidRPr="00074757" w:rsidRDefault="00D97ABB"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Necesar într-o societate democratică</w:t>
            </w:r>
            <w:r w:rsidR="00DE7010">
              <w:rPr>
                <w:rFonts w:ascii="Times New Roman" w:hAnsi="Times New Roman" w:cs="Times New Roman"/>
                <w:sz w:val="24"/>
                <w:szCs w:val="24"/>
                <w:lang w:val="ro-RO"/>
              </w:rPr>
              <w:t xml:space="preserve">, </w:t>
            </w:r>
            <w:r w:rsidRPr="00074757">
              <w:rPr>
                <w:rFonts w:ascii="Times New Roman" w:hAnsi="Times New Roman" w:cs="Times New Roman"/>
                <w:sz w:val="24"/>
                <w:szCs w:val="24"/>
                <w:lang w:val="ro-RO"/>
              </w:rPr>
              <w:t>Prevenirea criminalității</w:t>
            </w:r>
            <w:r w:rsidR="00DE7010">
              <w:rPr>
                <w:rFonts w:ascii="Times New Roman" w:hAnsi="Times New Roman" w:cs="Times New Roman"/>
                <w:sz w:val="24"/>
                <w:szCs w:val="24"/>
                <w:lang w:val="ro-RO"/>
              </w:rPr>
              <w:t xml:space="preserve">, </w:t>
            </w:r>
            <w:r w:rsidRPr="00074757">
              <w:rPr>
                <w:rFonts w:ascii="Times New Roman" w:hAnsi="Times New Roman" w:cs="Times New Roman"/>
                <w:sz w:val="24"/>
                <w:szCs w:val="24"/>
                <w:lang w:val="ro-RO"/>
              </w:rPr>
              <w:t>Prevenirea tulburării</w:t>
            </w:r>
          </w:p>
          <w:p w14:paraId="613C1500" w14:textId="5C0ED6B7" w:rsidR="007D6568" w:rsidRPr="00074757" w:rsidRDefault="00D97ABB"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Protecția drepturilor și libertăților altora</w:t>
            </w:r>
          </w:p>
        </w:tc>
        <w:tc>
          <w:tcPr>
            <w:tcW w:w="6582" w:type="dxa"/>
          </w:tcPr>
          <w:p w14:paraId="78CBD304" w14:textId="77777777" w:rsidR="007D6568" w:rsidRPr="00074757" w:rsidRDefault="001503D3"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În opinia Curții, deși nu este un eveniment neobișnuit în contextul exercitării libertății de întrunire în societățile moderne, comportamentul fizic care obstrucționează în mod intenționat traficul și cursul obișnuit al vieții în scopul perturbării serioase a activităților desfășurate de alții nu constituie nucleul acestei libertăți așa cum este protejat de articolul 11 ​​din convenție. Această stare de fapt ar putea avea implicații pentru orice evaluare a „necesității” care urmează să fie efectuată în temeiul articolului 11 al doilea paragraf.</w:t>
            </w:r>
          </w:p>
          <w:p w14:paraId="0C94D48D" w14:textId="77777777" w:rsidR="007E6F07" w:rsidRPr="00074757" w:rsidRDefault="007E6F07" w:rsidP="00074757">
            <w:pPr>
              <w:widowControl w:val="0"/>
              <w:jc w:val="both"/>
              <w:rPr>
                <w:rFonts w:ascii="Times New Roman" w:hAnsi="Times New Roman" w:cs="Times New Roman"/>
                <w:sz w:val="24"/>
                <w:szCs w:val="24"/>
                <w:lang w:val="ro-RO"/>
              </w:rPr>
            </w:pPr>
          </w:p>
          <w:p w14:paraId="7696C132" w14:textId="77777777" w:rsidR="001503D3" w:rsidRPr="00074757" w:rsidRDefault="007E6F07"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 xml:space="preserve">Prin ...neexercitarea testului de echilibrare cerut în temeiul articolului 11 § 2 din Convenție, Curtea Supremă nu a furnizat motive relevante și suficiente pentru ingerința în dreptul reclamanților la libertatea de întrunire și, astfel, nu a stabilit în mod convingător necesitatea unor astfel de restricții, care trebuie interpretată în mod restrâns (a se vedea principiile relevante din paragraful 63 de mai sus). Având în vedere considerentele de mai sus, Curtea constată că nu au fost îndeplinite cerințele prevăzute la articolul 11 ​​din Convenție deoarece analiza aplicabilității </w:t>
            </w:r>
            <w:r w:rsidRPr="00074757">
              <w:rPr>
                <w:rFonts w:ascii="Times New Roman" w:hAnsi="Times New Roman" w:cs="Times New Roman"/>
                <w:sz w:val="24"/>
                <w:szCs w:val="24"/>
                <w:lang w:val="ro-RO"/>
              </w:rPr>
              <w:lastRenderedPageBreak/>
              <w:t>respectivei dispoziții – și, în consecință, aprecierea justificării ingerinței – nu au fost efectuate la nivel intern. într-o manieră conformă cu Convenția și cu jurisprudența Curții (comparați cu Obote împotriva Rusiei, nr. 58954/09, § 43, 19 noiembrie 2019 și Malofeyeva c. Rusia, nr. 36673/04, § 141, 30 mai 2013, a se vedea, de asemenea, mutatis mutandis, L. c. Țărilor de Jos, §§ 40-42, CEDO 2004-IV).</w:t>
            </w:r>
          </w:p>
          <w:p w14:paraId="627789C6" w14:textId="77777777" w:rsidR="007E6F07" w:rsidRPr="00074757" w:rsidRDefault="007E6F07" w:rsidP="00074757">
            <w:pPr>
              <w:widowControl w:val="0"/>
              <w:jc w:val="both"/>
              <w:rPr>
                <w:rFonts w:ascii="Times New Roman" w:hAnsi="Times New Roman" w:cs="Times New Roman"/>
                <w:sz w:val="24"/>
                <w:szCs w:val="24"/>
                <w:lang w:val="ro-RO"/>
              </w:rPr>
            </w:pPr>
          </w:p>
          <w:p w14:paraId="58FE98CF" w14:textId="34F53863" w:rsidR="007E6F07" w:rsidRPr="00074757" w:rsidRDefault="007E6F07" w:rsidP="00074757">
            <w:pPr>
              <w:widowControl w:val="0"/>
              <w:jc w:val="both"/>
              <w:rPr>
                <w:rFonts w:ascii="Times New Roman" w:hAnsi="Times New Roman" w:cs="Times New Roman"/>
                <w:sz w:val="24"/>
                <w:szCs w:val="24"/>
                <w:lang w:val="ro-RO"/>
              </w:rPr>
            </w:pPr>
          </w:p>
        </w:tc>
        <w:tc>
          <w:tcPr>
            <w:tcW w:w="2977" w:type="dxa"/>
          </w:tcPr>
          <w:p w14:paraId="46142BB1" w14:textId="21D3C501" w:rsidR="00BF40D4" w:rsidRPr="00074757" w:rsidRDefault="00BF40D4"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lastRenderedPageBreak/>
              <w:t>100 EUR fiecăruia dintre reclamanți, cu titlu de prejudiciu material;</w:t>
            </w:r>
          </w:p>
          <w:p w14:paraId="0EDD0F8D" w14:textId="77777777" w:rsidR="00BF40D4" w:rsidRPr="00074757" w:rsidRDefault="00BF40D4" w:rsidP="00074757">
            <w:pPr>
              <w:widowControl w:val="0"/>
              <w:jc w:val="both"/>
              <w:rPr>
                <w:rFonts w:ascii="Times New Roman" w:hAnsi="Times New Roman" w:cs="Times New Roman"/>
                <w:sz w:val="24"/>
                <w:szCs w:val="24"/>
                <w:lang w:val="ro-RO"/>
              </w:rPr>
            </w:pPr>
          </w:p>
          <w:p w14:paraId="51AA5D6D" w14:textId="76059313" w:rsidR="00BF40D4" w:rsidRPr="00074757" w:rsidRDefault="00BF40D4"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100 EUR  fiecăruia dintre reclamanți, cu titlu de prejudiciu moral;</w:t>
            </w:r>
          </w:p>
          <w:p w14:paraId="0FCF0A33" w14:textId="77777777" w:rsidR="00BF40D4" w:rsidRPr="00074757" w:rsidRDefault="00BF40D4" w:rsidP="00074757">
            <w:pPr>
              <w:widowControl w:val="0"/>
              <w:jc w:val="both"/>
              <w:rPr>
                <w:rFonts w:ascii="Times New Roman" w:hAnsi="Times New Roman" w:cs="Times New Roman"/>
                <w:sz w:val="24"/>
                <w:szCs w:val="24"/>
                <w:lang w:val="ro-RO"/>
              </w:rPr>
            </w:pPr>
          </w:p>
          <w:p w14:paraId="14C6F3B6" w14:textId="78AC8F90" w:rsidR="00BF40D4" w:rsidRPr="00074757" w:rsidRDefault="00BF40D4"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562 EUR domnului Laurijsen (cererea nr. 56896/17), doamnei Springer (cererea nr. 56910/17) și doamnei Koenen (cererea nr. 56917/17), fiecare, în ceea ce privește costurile și cheltuielile</w:t>
            </w:r>
          </w:p>
          <w:p w14:paraId="2F8054E6" w14:textId="77777777" w:rsidR="00BF40D4" w:rsidRPr="00074757" w:rsidRDefault="00BF40D4" w:rsidP="00074757">
            <w:pPr>
              <w:widowControl w:val="0"/>
              <w:jc w:val="both"/>
              <w:rPr>
                <w:rFonts w:ascii="Times New Roman" w:hAnsi="Times New Roman" w:cs="Times New Roman"/>
                <w:sz w:val="24"/>
                <w:szCs w:val="24"/>
                <w:lang w:val="ro-RO"/>
              </w:rPr>
            </w:pPr>
          </w:p>
          <w:p w14:paraId="6945D5D7" w14:textId="6E672852" w:rsidR="00BF40D4" w:rsidRPr="00074757" w:rsidRDefault="00BF40D4"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 xml:space="preserve">363 EUR doamnei Van </w:t>
            </w:r>
            <w:r w:rsidRPr="00074757">
              <w:rPr>
                <w:rFonts w:ascii="Times New Roman" w:hAnsi="Times New Roman" w:cs="Times New Roman"/>
                <w:sz w:val="24"/>
                <w:szCs w:val="24"/>
                <w:lang w:val="ro-RO"/>
              </w:rPr>
              <w:lastRenderedPageBreak/>
              <w:t>Oostrum (cererea nr. 56914/17), cu titlu de costuri și cheltuieli</w:t>
            </w:r>
          </w:p>
          <w:p w14:paraId="37299497" w14:textId="77777777" w:rsidR="00BF40D4" w:rsidRPr="00074757" w:rsidRDefault="00BF40D4" w:rsidP="00074757">
            <w:pPr>
              <w:widowControl w:val="0"/>
              <w:jc w:val="both"/>
              <w:rPr>
                <w:rFonts w:ascii="Times New Roman" w:hAnsi="Times New Roman" w:cs="Times New Roman"/>
                <w:sz w:val="24"/>
                <w:szCs w:val="24"/>
                <w:lang w:val="ro-RO"/>
              </w:rPr>
            </w:pPr>
          </w:p>
          <w:p w14:paraId="3A39280C" w14:textId="73DAE8EC" w:rsidR="007D6568" w:rsidRPr="00074757" w:rsidRDefault="00BF40D4"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419 EUR  doamnei Segal (cererea nr. 57307/17), cu titlu de costuri și cheltuieli</w:t>
            </w:r>
          </w:p>
        </w:tc>
      </w:tr>
      <w:tr w:rsidR="007D6568" w:rsidRPr="00074757" w14:paraId="59C28337" w14:textId="77777777" w:rsidTr="005F10B6">
        <w:tc>
          <w:tcPr>
            <w:tcW w:w="1227" w:type="dxa"/>
          </w:tcPr>
          <w:p w14:paraId="5D8FEAE8" w14:textId="27ABBDFE"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lastRenderedPageBreak/>
              <w:t>11</w:t>
            </w:r>
          </w:p>
        </w:tc>
        <w:tc>
          <w:tcPr>
            <w:tcW w:w="1203" w:type="dxa"/>
          </w:tcPr>
          <w:p w14:paraId="75339CD2" w14:textId="6A1F5455"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Libertatea de întrunire și asociere</w:t>
            </w:r>
          </w:p>
        </w:tc>
        <w:tc>
          <w:tcPr>
            <w:tcW w:w="1506" w:type="dxa"/>
          </w:tcPr>
          <w:p w14:paraId="58141C9F" w14:textId="01635F11" w:rsidR="007D6568" w:rsidRPr="00074757" w:rsidRDefault="000E2CE2" w:rsidP="00074757">
            <w:pPr>
              <w:widowControl w:val="0"/>
              <w:jc w:val="both"/>
              <w:rPr>
                <w:rFonts w:ascii="Times New Roman" w:hAnsi="Times New Roman" w:cs="Times New Roman"/>
                <w:sz w:val="24"/>
                <w:szCs w:val="24"/>
                <w:lang w:val="ro-RO"/>
              </w:rPr>
            </w:pPr>
            <w:r w:rsidRPr="00074757">
              <w:rPr>
                <w:rStyle w:val="s29100277"/>
                <w:rFonts w:ascii="Times New Roman" w:hAnsi="Times New Roman" w:cs="Times New Roman"/>
                <w:sz w:val="24"/>
                <w:szCs w:val="24"/>
              </w:rPr>
              <w:t xml:space="preserve">Baran </w:t>
            </w:r>
            <w:r w:rsidR="00F56748" w:rsidRPr="00074757">
              <w:rPr>
                <w:rStyle w:val="s29100277"/>
                <w:rFonts w:ascii="Times New Roman" w:hAnsi="Times New Roman" w:cs="Times New Roman"/>
                <w:sz w:val="24"/>
                <w:szCs w:val="24"/>
              </w:rPr>
              <w:t>v</w:t>
            </w:r>
            <w:r w:rsidRPr="00074757">
              <w:rPr>
                <w:rStyle w:val="s29100277"/>
                <w:rFonts w:ascii="Times New Roman" w:hAnsi="Times New Roman" w:cs="Times New Roman"/>
                <w:sz w:val="24"/>
                <w:szCs w:val="24"/>
              </w:rPr>
              <w:t xml:space="preserve">. </w:t>
            </w:r>
            <w:r w:rsidR="00F56748" w:rsidRPr="00074757">
              <w:rPr>
                <w:rStyle w:val="s29100277"/>
                <w:rFonts w:ascii="Times New Roman" w:hAnsi="Times New Roman" w:cs="Times New Roman"/>
                <w:sz w:val="24"/>
                <w:szCs w:val="24"/>
              </w:rPr>
              <w:t>Turcia</w:t>
            </w:r>
            <w:r w:rsidR="00B66222" w:rsidRPr="00074757">
              <w:rPr>
                <w:rStyle w:val="s29100277"/>
                <w:rFonts w:ascii="Times New Roman" w:hAnsi="Times New Roman" w:cs="Times New Roman"/>
                <w:sz w:val="24"/>
                <w:szCs w:val="24"/>
              </w:rPr>
              <w:t xml:space="preserve">, no. </w:t>
            </w:r>
            <w:r w:rsidR="00B66222" w:rsidRPr="00074757">
              <w:rPr>
                <w:rStyle w:val="column"/>
                <w:rFonts w:ascii="Times New Roman" w:hAnsi="Times New Roman" w:cs="Times New Roman"/>
                <w:sz w:val="24"/>
                <w:szCs w:val="24"/>
              </w:rPr>
              <w:t xml:space="preserve">74624/11, hotărârea din </w:t>
            </w:r>
            <w:r w:rsidR="006062C4" w:rsidRPr="00074757">
              <w:rPr>
                <w:rStyle w:val="column"/>
                <w:rFonts w:ascii="Times New Roman" w:hAnsi="Times New Roman" w:cs="Times New Roman"/>
                <w:sz w:val="24"/>
                <w:szCs w:val="24"/>
              </w:rPr>
              <w:t>06/02/2024</w:t>
            </w:r>
          </w:p>
        </w:tc>
        <w:tc>
          <w:tcPr>
            <w:tcW w:w="1417" w:type="dxa"/>
          </w:tcPr>
          <w:p w14:paraId="51BC8B06" w14:textId="5FF82081" w:rsidR="007D6568" w:rsidRPr="00074757" w:rsidRDefault="00DE7010" w:rsidP="00DE7010">
            <w:pPr>
              <w:widowControl w:val="0"/>
              <w:jc w:val="both"/>
              <w:rPr>
                <w:rFonts w:ascii="Times New Roman" w:hAnsi="Times New Roman" w:cs="Times New Roman"/>
                <w:sz w:val="24"/>
                <w:szCs w:val="24"/>
                <w:lang w:val="ro-RO"/>
              </w:rPr>
            </w:pPr>
            <w:r>
              <w:rPr>
                <w:rFonts w:ascii="Times New Roman" w:hAnsi="Times New Roman" w:cs="Times New Roman"/>
                <w:sz w:val="24"/>
                <w:szCs w:val="24"/>
                <w:lang w:val="ro-RO"/>
              </w:rPr>
              <w:t>F</w:t>
            </w:r>
            <w:r w:rsidR="00145F88" w:rsidRPr="00074757">
              <w:rPr>
                <w:rFonts w:ascii="Times New Roman" w:hAnsi="Times New Roman" w:cs="Times New Roman"/>
                <w:sz w:val="24"/>
                <w:szCs w:val="24"/>
                <w:lang w:val="ro-RO"/>
              </w:rPr>
              <w:t>apta „prevăzută de lege”, îndreptată către unul sau mai multe scopuri legitime</w:t>
            </w:r>
            <w:r>
              <w:rPr>
                <w:rFonts w:ascii="Times New Roman" w:hAnsi="Times New Roman" w:cs="Times New Roman"/>
                <w:sz w:val="24"/>
                <w:szCs w:val="24"/>
                <w:lang w:val="ro-RO"/>
              </w:rPr>
              <w:t>, N</w:t>
            </w:r>
            <w:r w:rsidR="00145F88" w:rsidRPr="00074757">
              <w:rPr>
                <w:rFonts w:ascii="Times New Roman" w:hAnsi="Times New Roman" w:cs="Times New Roman"/>
                <w:sz w:val="24"/>
                <w:szCs w:val="24"/>
                <w:lang w:val="ro-RO"/>
              </w:rPr>
              <w:t>ecesară</w:t>
            </w:r>
            <w:r w:rsidR="00E94C06" w:rsidRPr="00074757">
              <w:rPr>
                <w:rFonts w:ascii="Times New Roman" w:hAnsi="Times New Roman" w:cs="Times New Roman"/>
                <w:sz w:val="24"/>
                <w:szCs w:val="24"/>
                <w:lang w:val="ro-RO"/>
              </w:rPr>
              <w:t xml:space="preserve"> </w:t>
            </w:r>
            <w:r w:rsidR="00145F88" w:rsidRPr="00074757">
              <w:rPr>
                <w:rFonts w:ascii="Times New Roman" w:hAnsi="Times New Roman" w:cs="Times New Roman"/>
                <w:sz w:val="24"/>
                <w:szCs w:val="24"/>
                <w:lang w:val="ro-RO"/>
              </w:rPr>
              <w:t>într-o societate democratică</w:t>
            </w:r>
            <w:r>
              <w:rPr>
                <w:rFonts w:ascii="Times New Roman" w:hAnsi="Times New Roman" w:cs="Times New Roman"/>
                <w:sz w:val="24"/>
                <w:szCs w:val="24"/>
                <w:lang w:val="ro-RO"/>
              </w:rPr>
              <w:t>.</w:t>
            </w:r>
          </w:p>
        </w:tc>
        <w:tc>
          <w:tcPr>
            <w:tcW w:w="6582" w:type="dxa"/>
          </w:tcPr>
          <w:p w14:paraId="0F8BB5A8" w14:textId="4C22BC56" w:rsidR="00145F88" w:rsidRPr="00074757" w:rsidRDefault="00145F8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În fond, Curtea consideră că condamnarea penală aplicată reclamantului în legătură cu participarea sa la o manifestație echivalează cu o ingerință în exercitarea de către persoana în cauză a dreptului său la libertatea de întrunire.</w:t>
            </w:r>
          </w:p>
          <w:p w14:paraId="7C71BE84" w14:textId="6FD4A2A3" w:rsidR="00145F88" w:rsidRPr="00074757" w:rsidRDefault="00145F8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 xml:space="preserve"> O astfel de ingerință încalcă articolul 11, cu excepția cazului în care este „prevăzută de lege”, îndreptată către unul sau mai multe scopuri legitime în raport cu paragraful 2 al articolului menționat și „necesară”, într-o societate democratică, pentru realizarea acestora.</w:t>
            </w:r>
          </w:p>
          <w:p w14:paraId="419944CD" w14:textId="5DA68370" w:rsidR="00145F88" w:rsidRPr="00074757" w:rsidRDefault="00145F8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 xml:space="preserve"> Curtea reține că condamnarea penală a reclamantului pentru săvârșirea de infracțiuni în numele unei organizații ilegale de către o persoană care nu este membru a fost prevăzută de lege, și mai precis de articolele 220 § 6 și 314 §§ 2 și 3 din CP.</w:t>
            </w:r>
          </w:p>
          <w:p w14:paraId="5362FC6B" w14:textId="256722B0" w:rsidR="00145F88" w:rsidRPr="00074757" w:rsidRDefault="00145F8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În această privință, reamintește că a avut deja ocazia să constate, într-o cauză similară care privea o condamnare pronunțată reclamanților în temeiul dispozițiilor penale menționate anterior, că articolul 220 § 6 CP nu îndeplinea cerința de previzibilitate, întrucât, pe de o parte, din cauza sferei extinse a expresiilor care apar în ele, aceasta nu a oferit reclamanților o garanție de încredere împotriva urmăririi penale arbitrare și că, pe de altă parte, aplicarea sa practică nu pare să compenseze această deficiență (Çiçek și alții, citați mai sus, §§ 155-163). În acest caz, ea nu vede niciun motiv să se abată de la această abordare.</w:t>
            </w:r>
          </w:p>
          <w:p w14:paraId="50B9597C" w14:textId="269AA9FD" w:rsidR="00145F88" w:rsidRPr="00074757" w:rsidRDefault="00145F8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În consecință, Curtea concluzionează că a existat o încălcare a articolului 11 din Convenție.</w:t>
            </w:r>
          </w:p>
          <w:p w14:paraId="492E508D" w14:textId="488CD858" w:rsidR="007D6568" w:rsidRPr="00074757" w:rsidRDefault="00145F8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 xml:space="preserve">Având în vedere această constatare a încălcării, Curtea consideră inutilă examinarea chestiunii justificării procesului penal deschis împotriva reclamantului pentru propagandă în favoarea unei organizații teroriste în temeiul articolului 7 § 2 din Legea nr. 3713 </w:t>
            </w:r>
            <w:r w:rsidRPr="00074757">
              <w:rPr>
                <w:rFonts w:ascii="Times New Roman" w:hAnsi="Times New Roman" w:cs="Times New Roman"/>
                <w:sz w:val="24"/>
                <w:szCs w:val="24"/>
                <w:lang w:val="ro-RO"/>
              </w:rPr>
              <w:lastRenderedPageBreak/>
              <w:t>(pentru o abordare similară, a se vedea Işıkırık, citată mai sus, § 71).</w:t>
            </w:r>
          </w:p>
        </w:tc>
        <w:tc>
          <w:tcPr>
            <w:tcW w:w="2977" w:type="dxa"/>
          </w:tcPr>
          <w:p w14:paraId="376A69D9" w14:textId="37B37065" w:rsidR="0064246E" w:rsidRPr="00074757" w:rsidRDefault="0064246E"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lastRenderedPageBreak/>
              <w:t>În ceea ce privește cererea de prejudiciu material, Curtea constată că aceasta nu este în niciun fel întemeiată și o respinge.</w:t>
            </w:r>
          </w:p>
          <w:p w14:paraId="086B8B05" w14:textId="77777777" w:rsidR="0064246E" w:rsidRPr="00074757" w:rsidRDefault="0064246E" w:rsidP="00074757">
            <w:pPr>
              <w:widowControl w:val="0"/>
              <w:jc w:val="both"/>
              <w:rPr>
                <w:rFonts w:ascii="Times New Roman" w:hAnsi="Times New Roman" w:cs="Times New Roman"/>
                <w:sz w:val="24"/>
                <w:szCs w:val="24"/>
                <w:lang w:val="ro-RO"/>
              </w:rPr>
            </w:pPr>
          </w:p>
          <w:p w14:paraId="20C0E27C" w14:textId="677B7E40" w:rsidR="0064246E" w:rsidRPr="00074757" w:rsidRDefault="0064246E"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În ceea ce privește cererea reclamantului de prejudiciu moral, Curtea consideră că reclamantul a suferit un prejudiciu moral pentru care constatarea unei încălcări a Convenției stabilită în prezenta hotărâre nu este suficientă pentru a stabili remedierea. Ținând cont de dispoziția legală în temeiul căreia a fost condamnat, Curtea îi acordă reclamantului 7.500 EUR cu titlu de prejudiciu mora</w:t>
            </w:r>
            <w:r w:rsidR="003B769C" w:rsidRPr="00074757">
              <w:rPr>
                <w:rFonts w:ascii="Times New Roman" w:hAnsi="Times New Roman" w:cs="Times New Roman"/>
                <w:sz w:val="24"/>
                <w:szCs w:val="24"/>
                <w:lang w:val="ro-RO"/>
              </w:rPr>
              <w:t xml:space="preserve">l </w:t>
            </w:r>
          </w:p>
          <w:p w14:paraId="22BD7435" w14:textId="77777777" w:rsidR="0064246E" w:rsidRPr="00074757" w:rsidRDefault="0064246E" w:rsidP="00074757">
            <w:pPr>
              <w:widowControl w:val="0"/>
              <w:jc w:val="both"/>
              <w:rPr>
                <w:rFonts w:ascii="Times New Roman" w:hAnsi="Times New Roman" w:cs="Times New Roman"/>
                <w:sz w:val="24"/>
                <w:szCs w:val="24"/>
                <w:lang w:val="ro-RO"/>
              </w:rPr>
            </w:pPr>
          </w:p>
          <w:p w14:paraId="10D5163B" w14:textId="75FA6035" w:rsidR="007D6568" w:rsidRPr="00074757" w:rsidRDefault="0064246E"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500 EUR,</w:t>
            </w:r>
            <w:r w:rsidR="00B13DFB" w:rsidRPr="00074757">
              <w:rPr>
                <w:rFonts w:ascii="Times New Roman" w:hAnsi="Times New Roman" w:cs="Times New Roman"/>
                <w:sz w:val="24"/>
                <w:szCs w:val="24"/>
                <w:lang w:val="ro-RO"/>
              </w:rPr>
              <w:t xml:space="preserve"> costuri și cheltuieli</w:t>
            </w:r>
          </w:p>
        </w:tc>
      </w:tr>
      <w:tr w:rsidR="007D6568" w:rsidRPr="00074757" w14:paraId="30EDFCD7" w14:textId="77777777" w:rsidTr="005F10B6">
        <w:tc>
          <w:tcPr>
            <w:tcW w:w="1227" w:type="dxa"/>
          </w:tcPr>
          <w:p w14:paraId="19543E54" w14:textId="7CFA84BB"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11</w:t>
            </w:r>
          </w:p>
        </w:tc>
        <w:tc>
          <w:tcPr>
            <w:tcW w:w="1203" w:type="dxa"/>
          </w:tcPr>
          <w:p w14:paraId="4FE7D250" w14:textId="5C20E5B6"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Libertatea de întrunire și asociere</w:t>
            </w:r>
          </w:p>
        </w:tc>
        <w:tc>
          <w:tcPr>
            <w:tcW w:w="1506" w:type="dxa"/>
          </w:tcPr>
          <w:p w14:paraId="0B7C30F1" w14:textId="28F8A8A7" w:rsidR="007D6568" w:rsidRPr="00074757" w:rsidRDefault="00C52CFC"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Kotov v. Rusia</w:t>
            </w:r>
            <w:r w:rsidR="007477E1" w:rsidRPr="00074757">
              <w:rPr>
                <w:rFonts w:ascii="Times New Roman" w:hAnsi="Times New Roman" w:cs="Times New Roman"/>
                <w:sz w:val="24"/>
                <w:szCs w:val="24"/>
                <w:lang w:val="ro-RO"/>
              </w:rPr>
              <w:t xml:space="preserve">, no. </w:t>
            </w:r>
            <w:r w:rsidR="0068716A" w:rsidRPr="00074757">
              <w:rPr>
                <w:rStyle w:val="column"/>
                <w:rFonts w:ascii="Times New Roman" w:hAnsi="Times New Roman" w:cs="Times New Roman"/>
                <w:sz w:val="24"/>
                <w:szCs w:val="24"/>
              </w:rPr>
              <w:t xml:space="preserve">49282/19 50346/19, hotărârea din </w:t>
            </w:r>
            <w:r w:rsidR="00CB7456" w:rsidRPr="00074757">
              <w:rPr>
                <w:rStyle w:val="column"/>
                <w:rFonts w:ascii="Times New Roman" w:hAnsi="Times New Roman" w:cs="Times New Roman"/>
                <w:sz w:val="24"/>
                <w:szCs w:val="24"/>
              </w:rPr>
              <w:t>26/11/2024</w:t>
            </w:r>
          </w:p>
        </w:tc>
        <w:tc>
          <w:tcPr>
            <w:tcW w:w="1417" w:type="dxa"/>
          </w:tcPr>
          <w:p w14:paraId="7DBDB7AB" w14:textId="6AF789BE" w:rsidR="00B2150A" w:rsidRPr="00074757" w:rsidRDefault="00B2150A"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Libertatea de exprimare</w:t>
            </w:r>
            <w:r w:rsidR="00DE7010">
              <w:rPr>
                <w:rFonts w:ascii="Times New Roman" w:hAnsi="Times New Roman" w:cs="Times New Roman"/>
                <w:sz w:val="24"/>
                <w:szCs w:val="24"/>
                <w:lang w:val="ro-RO"/>
              </w:rPr>
              <w:t>,</w:t>
            </w:r>
            <w:r w:rsidRPr="00074757">
              <w:rPr>
                <w:rFonts w:ascii="Times New Roman" w:hAnsi="Times New Roman" w:cs="Times New Roman"/>
                <w:sz w:val="24"/>
                <w:szCs w:val="24"/>
                <w:lang w:val="ro-RO"/>
              </w:rPr>
              <w:t xml:space="preserve"> Libertatea de întrunire pașnică</w:t>
            </w:r>
            <w:r w:rsidR="00DE7010">
              <w:rPr>
                <w:rFonts w:ascii="Times New Roman" w:hAnsi="Times New Roman" w:cs="Times New Roman"/>
                <w:sz w:val="24"/>
                <w:szCs w:val="24"/>
                <w:lang w:val="ro-RO"/>
              </w:rPr>
              <w:t>,</w:t>
            </w:r>
            <w:r w:rsidRPr="00074757">
              <w:rPr>
                <w:rFonts w:ascii="Times New Roman" w:hAnsi="Times New Roman" w:cs="Times New Roman"/>
                <w:sz w:val="24"/>
                <w:szCs w:val="24"/>
                <w:lang w:val="ro-RO"/>
              </w:rPr>
              <w:t xml:space="preserve"> Nerespectarea de către instanțele interne de a furniza motive pentru condamnările administrative pentru participarea la evenimente publice neautorizate, dar pașnice și pentru publicarea cererilor de participare la un astfel de eveniment</w:t>
            </w:r>
            <w:r w:rsidR="00DE7010">
              <w:rPr>
                <w:rFonts w:ascii="Times New Roman" w:hAnsi="Times New Roman" w:cs="Times New Roman"/>
                <w:sz w:val="24"/>
                <w:szCs w:val="24"/>
                <w:lang w:val="ro-RO"/>
              </w:rPr>
              <w:t>,</w:t>
            </w:r>
            <w:r w:rsidRPr="00074757">
              <w:rPr>
                <w:rFonts w:ascii="Times New Roman" w:hAnsi="Times New Roman" w:cs="Times New Roman"/>
                <w:sz w:val="24"/>
                <w:szCs w:val="24"/>
                <w:lang w:val="ro-RO"/>
              </w:rPr>
              <w:t xml:space="preserve"> Ingerința nu este „necesară într-un societate democratică</w:t>
            </w:r>
            <w:r w:rsidRPr="00074757">
              <w:rPr>
                <w:rFonts w:ascii="Times New Roman" w:hAnsi="Times New Roman" w:cs="Times New Roman"/>
                <w:sz w:val="24"/>
                <w:szCs w:val="24"/>
                <w:lang w:val="ro-RO"/>
              </w:rPr>
              <w:lastRenderedPageBreak/>
              <w:t>”</w:t>
            </w:r>
          </w:p>
          <w:p w14:paraId="3CCA71D9" w14:textId="36E09DB2" w:rsidR="007D6568" w:rsidRPr="00074757" w:rsidRDefault="00B2150A"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Libertatea de întrunire pașnică</w:t>
            </w:r>
            <w:r w:rsidR="00DE7010">
              <w:rPr>
                <w:rFonts w:ascii="Times New Roman" w:hAnsi="Times New Roman" w:cs="Times New Roman"/>
                <w:sz w:val="24"/>
                <w:szCs w:val="24"/>
                <w:lang w:val="ro-RO"/>
              </w:rPr>
              <w:t>,</w:t>
            </w:r>
            <w:r w:rsidRPr="00074757">
              <w:rPr>
                <w:rFonts w:ascii="Times New Roman" w:hAnsi="Times New Roman" w:cs="Times New Roman"/>
                <w:sz w:val="24"/>
                <w:szCs w:val="24"/>
                <w:lang w:val="ro-RO"/>
              </w:rPr>
              <w:t xml:space="preserve"> Condamnare penală disproporționată pentru încălcări repetate ale procedurii stabilite pentru organizarea și desfășurarea de evenimente publice pașnice</w:t>
            </w:r>
            <w:r w:rsidR="00DE7010">
              <w:rPr>
                <w:rFonts w:ascii="Times New Roman" w:hAnsi="Times New Roman" w:cs="Times New Roman"/>
                <w:sz w:val="24"/>
                <w:szCs w:val="24"/>
                <w:lang w:val="ro-RO"/>
              </w:rPr>
              <w:t>,</w:t>
            </w:r>
            <w:r w:rsidRPr="00074757">
              <w:rPr>
                <w:rFonts w:ascii="Times New Roman" w:hAnsi="Times New Roman" w:cs="Times New Roman"/>
                <w:sz w:val="24"/>
                <w:szCs w:val="24"/>
                <w:lang w:val="ro-RO"/>
              </w:rPr>
              <w:t xml:space="preserve"> Îndoieli cu privire la previzibilitatea condamnării</w:t>
            </w:r>
            <w:r w:rsidR="00DE7010">
              <w:rPr>
                <w:rFonts w:ascii="Times New Roman" w:hAnsi="Times New Roman" w:cs="Times New Roman"/>
                <w:sz w:val="24"/>
                <w:szCs w:val="24"/>
                <w:lang w:val="ro-RO"/>
              </w:rPr>
              <w:t xml:space="preserve">, </w:t>
            </w:r>
            <w:r w:rsidRPr="00074757">
              <w:rPr>
                <w:rFonts w:ascii="Times New Roman" w:hAnsi="Times New Roman" w:cs="Times New Roman"/>
                <w:sz w:val="24"/>
                <w:szCs w:val="24"/>
                <w:lang w:val="ro-RO"/>
              </w:rPr>
              <w:t>Neechilibrarea intereselor în joc</w:t>
            </w:r>
            <w:r w:rsidR="005453E8" w:rsidRPr="00074757">
              <w:rPr>
                <w:rFonts w:ascii="Times New Roman" w:hAnsi="Times New Roman" w:cs="Times New Roman"/>
                <w:sz w:val="24"/>
                <w:szCs w:val="24"/>
                <w:lang w:val="ro-RO"/>
              </w:rPr>
              <w:t>.</w:t>
            </w:r>
          </w:p>
        </w:tc>
        <w:tc>
          <w:tcPr>
            <w:tcW w:w="6582" w:type="dxa"/>
          </w:tcPr>
          <w:p w14:paraId="7F889888" w14:textId="325A5AD7" w:rsidR="00F31BC9" w:rsidRPr="00074757" w:rsidRDefault="00F31BC9"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lastRenderedPageBreak/>
              <w:t>În speță, însă, condamnarea reclamantului s-a bazat pe un raționament speculativ cu privire la potențiale „accidente pe scară largă”, fără a justifica probabilitatea reală ca astfel de incidente să aibă loc și presupusa contribuție a reclamantului. Aceasta sugerează o formă de responsabilitate colectivă care nu este permisă în temeiul articolului 11. Instanțele interne au considerat că comportamentul reclamantului nu a fost pașnic, deoarece a scandat lozinci și a ignorat ordinele legale ale ofițerilor de poliție de a se dispersa, demonstrația a cuprins un numărul de participanți și a avut loc în capitala Rusiei (a se vedea paragraful 16 de mai sus). Cu toate acestea, în hotărârile judecătorești nu s-a arătat în mod convingător că nici reclamantul, fie oricare alți participanți la demonstrații ar fi avut vreo intenție violentă, că reclamantul a demonstrat vreodată vreo amenințare la adresa sănătății, vieții sau proprietății altora din partea sa. acțiuni și, în sfârșit, că a cauzat vreun prejudiciu (a se vedea Laurijsen și alții împotriva Țărilor de Jos, nr. 56896/17 și alții 4, §§ 49, 56-58 și 65, 21 noiembrie 2023).</w:t>
            </w:r>
          </w:p>
          <w:p w14:paraId="4CD9EABA" w14:textId="18132AB7" w:rsidR="00F31BC9" w:rsidRPr="00074757" w:rsidRDefault="00F31BC9"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Sarcina dovedirii intențiilor violente ale organizatorilor unei demonstrații revine autorităților (a se vedea Partidul Popular Creștin Democrat c. Moldova (nr. 2), nr. 25196/04, § 23, 2 februarie 2010). În cazul de față, autoritățile nu au demonstrat că reclamantul a fost violent sau a provocat vreun prejudiciu. Faptul că au fost scandate anumite lozinci nespecificate, ordinele polițiștilor de dispersare au fost ignorate, a existat un număr semnificativ de participanți sau a avut loc demonstrația în capitala Rusiei nu poate constitui per se o dovadă că comportamentul reclamantului a reprezentat vreo amenințare reală la adresa siguranței. sau că a avut vreo intenție de a provoca un prejudiciu, după cum a constatat deja Curtea mai sus (a se vedea paragraful 31 de mai sus).</w:t>
            </w:r>
          </w:p>
          <w:p w14:paraId="5F0EBCD5" w14:textId="08A1A8A8" w:rsidR="00F31BC9" w:rsidRPr="00074757" w:rsidRDefault="00F31BC9"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 xml:space="preserve">Curtea reamintește că comportamentul fizic care împiedică în mod intenționat circulația și cursul obișnuit al vieții în scopul perturbării serioase a activităților desfășurate de terți nu se află în centrul acestei libertăți. așa cum este protejat de articolul 11 ​​din Convenție (a se vedea Kudrevičius și alții, citată mai sus, § 97). În speță, instanțele s-au referit doar la obstrucționarea circulației; nu au dat </w:t>
            </w:r>
            <w:r w:rsidRPr="00074757">
              <w:rPr>
                <w:rFonts w:ascii="Times New Roman" w:hAnsi="Times New Roman" w:cs="Times New Roman"/>
                <w:sz w:val="24"/>
                <w:szCs w:val="24"/>
                <w:lang w:val="ro-RO"/>
              </w:rPr>
              <w:lastRenderedPageBreak/>
              <w:t>exemple concrete și nici nu au analizat în ce măsură și în ce mod participanții au blocat traficul.</w:t>
            </w:r>
          </w:p>
          <w:p w14:paraId="6853133C" w14:textId="6826157C" w:rsidR="00F31BC9" w:rsidRPr="00074757" w:rsidRDefault="00F31BC9"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În ceea ce privește apelul reclamantului publicat pe internet de a participa la una dintre demonstrațiile neautorizate, acesta a invitat publicul să participe la o adunare pașnică legată de alegerile pentru Duma orașului Moscova, o chestiune de interes public. Sunt necesare motive foarte întemeiate pentru a justifica restricțiile în acest caz (a se vedea Feldek împotriva Slovaciei, nr. 29032/95, § 83, CEDO 2001-VIII). În speță, însă, instanțele naționale nu au furnizat nicio analiză detaliată a acestui motiv pentru condamnarea reclamantului (a se vedea și paragraful 31 de mai sus).</w:t>
            </w:r>
          </w:p>
          <w:p w14:paraId="189FE870" w14:textId="66273178" w:rsidR="00F31BC9" w:rsidRPr="00074757" w:rsidRDefault="00F31BC9"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În sfârșit, natura și severitatea sancțiunilor aplicate sunt, de asemenea, elemente care trebuie luate în considerare la aprecierea proporționalității unei ingerințe în raport cu scopul urmărit. Acolo unde sancțiunile impuse manifestanților sunt de natură penală, acestea necesită o justificare specială. O demonstrație pașnică nu ar trebui, în principiu, să fie supusă amenințării unei sancțiuni penale și, în special, a privării de libertate. Astfel, Curtea trebuie să examineze cu o atenție specială cazurile în care sancțiunile impuse de autoritățile naționale pentru comportament non-violent implică o pedeapsă cu închisoarea (a se vedea Kudrevičius și alții, citată mai sus, § 146, și Chernega și alții împotriva Ucrainei, nr. 74768/). 10, § 221, 18 iunie 2019).</w:t>
            </w:r>
          </w:p>
          <w:p w14:paraId="51D5479E" w14:textId="34D18D51" w:rsidR="00F31BC9" w:rsidRPr="00074757" w:rsidRDefault="007A2F5F"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w:t>
            </w:r>
            <w:r w:rsidR="00F31BC9" w:rsidRPr="00074757">
              <w:rPr>
                <w:rFonts w:ascii="Times New Roman" w:hAnsi="Times New Roman" w:cs="Times New Roman"/>
                <w:sz w:val="24"/>
                <w:szCs w:val="24"/>
                <w:lang w:val="ro-RO"/>
              </w:rPr>
              <w:t>În aceste condiții, măsurile luate împotriva sa erau extrem de disproporționate față de scopul urmărit. Nu a existat nicio „necesitate socială presantă” de a-l condamna la un an și șase luni de închisoare (a se vedea și Frumkin, citată mai sus, § 140).</w:t>
            </w:r>
          </w:p>
          <w:p w14:paraId="7E295BFA" w14:textId="77777777" w:rsidR="00F31BC9" w:rsidRPr="00074757" w:rsidRDefault="00F31BC9" w:rsidP="00074757">
            <w:pPr>
              <w:widowControl w:val="0"/>
              <w:jc w:val="both"/>
              <w:rPr>
                <w:rFonts w:ascii="Times New Roman" w:hAnsi="Times New Roman" w:cs="Times New Roman"/>
                <w:sz w:val="24"/>
                <w:szCs w:val="24"/>
                <w:lang w:val="ro-RO"/>
              </w:rPr>
            </w:pPr>
          </w:p>
          <w:p w14:paraId="714EB1C5" w14:textId="06B37A5F" w:rsidR="00F31BC9" w:rsidRPr="00074757" w:rsidRDefault="00F31BC9"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 xml:space="preserve">Considerațiile de mai sus în ansamblu conduc Curtea la concluzia că, chiar și acceptând că ingerința în prezenta cauză a urmărit un scop legitim, măsurile aplicate reclamantului au fost disproporționate în acest scop. În plus, Curtea are îndoieli cu privire la previzibilitatea condamnării penale a reclamantului, având în vedere nerespectarea de către instanțele interne a liniilor directoare date de Curtea Constituțională pentru aplicarea dispoziției penale relevante. Reclamantul a fost pedepsit pentru că a făcut un apel pentru a participa și a participat la demonstrații pașnice și a scandat sloganuri antiguvernamentale, acte protejate </w:t>
            </w:r>
            <w:r w:rsidRPr="00074757">
              <w:rPr>
                <w:rFonts w:ascii="Times New Roman" w:hAnsi="Times New Roman" w:cs="Times New Roman"/>
                <w:sz w:val="24"/>
                <w:szCs w:val="24"/>
                <w:lang w:val="ro-RO"/>
              </w:rPr>
              <w:lastRenderedPageBreak/>
              <w:t>de Convenție. Instanțele nu au depus eforturi suficiente pentru a echilibra interesele legitime ale reclamantului cu orice prejudiciu pe care comportamentul său l-ar putea cauza altor interese publice sau private.</w:t>
            </w:r>
          </w:p>
          <w:p w14:paraId="7306B6D1" w14:textId="77777777" w:rsidR="00F31BC9" w:rsidRPr="00074757" w:rsidRDefault="00F31BC9" w:rsidP="00074757">
            <w:pPr>
              <w:widowControl w:val="0"/>
              <w:jc w:val="both"/>
              <w:rPr>
                <w:rFonts w:ascii="Times New Roman" w:hAnsi="Times New Roman" w:cs="Times New Roman"/>
                <w:sz w:val="24"/>
                <w:szCs w:val="24"/>
                <w:lang w:val="ro-RO"/>
              </w:rPr>
            </w:pPr>
          </w:p>
          <w:p w14:paraId="3D7E6381" w14:textId="43CAC975" w:rsidR="007D6568" w:rsidRPr="00074757" w:rsidRDefault="00F31BC9"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În consecință, a existat o încălcare a articolului 11 din Convenție, din cauza condamnării penale a reclamantului pentru încălcări repetate ale procedurii stabilite pentru organizarea și desfășurarea evenimentelor publice.</w:t>
            </w:r>
          </w:p>
        </w:tc>
        <w:tc>
          <w:tcPr>
            <w:tcW w:w="2977" w:type="dxa"/>
          </w:tcPr>
          <w:p w14:paraId="037D6F04" w14:textId="602408A1" w:rsidR="00C92A59" w:rsidRPr="00074757" w:rsidRDefault="00C92A59"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lastRenderedPageBreak/>
              <w:t>9.750 EUR cu titlu de prejudiciu moral</w:t>
            </w:r>
            <w:r w:rsidR="00B3792F" w:rsidRPr="00074757">
              <w:rPr>
                <w:rFonts w:ascii="Times New Roman" w:hAnsi="Times New Roman" w:cs="Times New Roman"/>
                <w:sz w:val="24"/>
                <w:szCs w:val="24"/>
                <w:lang w:val="ro-RO"/>
              </w:rPr>
              <w:t xml:space="preserve"> </w:t>
            </w:r>
          </w:p>
          <w:p w14:paraId="7E189489" w14:textId="77777777" w:rsidR="00C92A59" w:rsidRPr="00074757" w:rsidRDefault="00C92A59" w:rsidP="00074757">
            <w:pPr>
              <w:widowControl w:val="0"/>
              <w:jc w:val="both"/>
              <w:rPr>
                <w:rFonts w:ascii="Times New Roman" w:hAnsi="Times New Roman" w:cs="Times New Roman"/>
                <w:sz w:val="24"/>
                <w:szCs w:val="24"/>
                <w:lang w:val="ro-RO"/>
              </w:rPr>
            </w:pPr>
          </w:p>
          <w:p w14:paraId="34BC2541" w14:textId="03CFB926" w:rsidR="007D6568" w:rsidRPr="00074757" w:rsidRDefault="00C92A59"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18.500 EUR care acoperă cheltuielile de judecată sub toate capetele</w:t>
            </w:r>
          </w:p>
        </w:tc>
      </w:tr>
      <w:tr w:rsidR="007D6568" w:rsidRPr="00074757" w14:paraId="353B3C9B" w14:textId="77777777" w:rsidTr="005F10B6">
        <w:tc>
          <w:tcPr>
            <w:tcW w:w="1227" w:type="dxa"/>
          </w:tcPr>
          <w:p w14:paraId="35098FDC" w14:textId="21368BA1"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lastRenderedPageBreak/>
              <w:t>11</w:t>
            </w:r>
          </w:p>
        </w:tc>
        <w:tc>
          <w:tcPr>
            <w:tcW w:w="1203" w:type="dxa"/>
          </w:tcPr>
          <w:p w14:paraId="4AE0B6E6" w14:textId="7347CFDA"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Libertatea de întrunire și asociere</w:t>
            </w:r>
          </w:p>
        </w:tc>
        <w:tc>
          <w:tcPr>
            <w:tcW w:w="1506" w:type="dxa"/>
          </w:tcPr>
          <w:p w14:paraId="29D57670" w14:textId="110EE9F4" w:rsidR="007D6568" w:rsidRPr="00074757" w:rsidRDefault="00074265" w:rsidP="00074757">
            <w:pPr>
              <w:widowControl w:val="0"/>
              <w:jc w:val="both"/>
              <w:rPr>
                <w:rFonts w:ascii="Times New Roman" w:hAnsi="Times New Roman" w:cs="Times New Roman"/>
                <w:sz w:val="24"/>
                <w:szCs w:val="24"/>
                <w:lang w:val="ro-RO"/>
              </w:rPr>
            </w:pPr>
            <w:r w:rsidRPr="00074757">
              <w:rPr>
                <w:rStyle w:val="s29100277"/>
                <w:rFonts w:ascii="Times New Roman" w:hAnsi="Times New Roman" w:cs="Times New Roman"/>
                <w:sz w:val="24"/>
                <w:szCs w:val="24"/>
              </w:rPr>
              <w:t>Belomestnov Și Alții v. Rusia</w:t>
            </w:r>
            <w:r w:rsidR="007A43A1" w:rsidRPr="00074757">
              <w:rPr>
                <w:rStyle w:val="s29100277"/>
                <w:rFonts w:ascii="Times New Roman" w:hAnsi="Times New Roman" w:cs="Times New Roman"/>
                <w:sz w:val="24"/>
                <w:szCs w:val="24"/>
              </w:rPr>
              <w:t xml:space="preserve">, </w:t>
            </w:r>
            <w:r w:rsidR="00C71FE3" w:rsidRPr="00074757">
              <w:rPr>
                <w:rStyle w:val="s29100277"/>
                <w:rFonts w:ascii="Times New Roman" w:hAnsi="Times New Roman" w:cs="Times New Roman"/>
                <w:sz w:val="24"/>
                <w:szCs w:val="24"/>
              </w:rPr>
              <w:t xml:space="preserve">no. </w:t>
            </w:r>
            <w:r w:rsidR="0077608A" w:rsidRPr="00074757">
              <w:rPr>
                <w:rStyle w:val="column"/>
                <w:rFonts w:ascii="Times New Roman" w:hAnsi="Times New Roman" w:cs="Times New Roman"/>
                <w:sz w:val="24"/>
                <w:szCs w:val="24"/>
              </w:rPr>
              <w:t>50374/21 et al.</w:t>
            </w:r>
            <w:r w:rsidR="00DE1733" w:rsidRPr="00074757">
              <w:rPr>
                <w:rStyle w:val="column"/>
                <w:rFonts w:ascii="Times New Roman" w:hAnsi="Times New Roman" w:cs="Times New Roman"/>
                <w:sz w:val="24"/>
                <w:szCs w:val="24"/>
              </w:rPr>
              <w:t>, hotărârea din 18/07/2024</w:t>
            </w:r>
          </w:p>
        </w:tc>
        <w:tc>
          <w:tcPr>
            <w:tcW w:w="1417" w:type="dxa"/>
          </w:tcPr>
          <w:p w14:paraId="54DC75E5" w14:textId="12F97CF6" w:rsidR="007D6568" w:rsidRPr="00074757" w:rsidRDefault="00D06FE7" w:rsidP="00074757">
            <w:pPr>
              <w:widowControl w:val="0"/>
              <w:jc w:val="both"/>
              <w:rPr>
                <w:rFonts w:ascii="Times New Roman" w:hAnsi="Times New Roman" w:cs="Times New Roman"/>
                <w:sz w:val="24"/>
                <w:szCs w:val="24"/>
                <w:lang w:val="ro-RO"/>
              </w:rPr>
            </w:pPr>
            <w:r>
              <w:rPr>
                <w:rFonts w:ascii="Times New Roman" w:hAnsi="Times New Roman" w:cs="Times New Roman"/>
                <w:sz w:val="24"/>
                <w:szCs w:val="24"/>
                <w:lang w:val="ro-RO"/>
              </w:rPr>
              <w:t>Libertatea de întrunire, Necesitatea în societate democratică.</w:t>
            </w:r>
          </w:p>
        </w:tc>
        <w:tc>
          <w:tcPr>
            <w:tcW w:w="6582" w:type="dxa"/>
          </w:tcPr>
          <w:p w14:paraId="087FEE12" w14:textId="28AFDEC8" w:rsidR="008C5764" w:rsidRPr="00074757" w:rsidRDefault="008C5764"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Curtea face trimitere la principiile stabilite în jurisprudența sa cu privire la libertatea de întrunire (a se vedea Kudrevičius și alții împotriva Lituaniei [GC], nr. 37553/05, CEDO 2015, cu referiri suplimentare) și proporționalitatea ingerinței în aceasta ( a se vedea Oya Ataman împotriva Turciei, nr. 74552/01, CEDO 2006‑XIV, și Hyde Park și alții împotriva Moldovei, nr. 33482/06, 31 martie 2009).</w:t>
            </w:r>
          </w:p>
          <w:p w14:paraId="6C52BBB5" w14:textId="01D44E7F" w:rsidR="008C5764" w:rsidRPr="00074757" w:rsidRDefault="008C5764"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În cauzele principale ale Frumkin împotriva Rusiei, nr. 74568/12, CEDO 2016 (extrase), Navalnyy și Yashin împotriva Rusiei, nr. 76204/11, 4 decembrie 2014 și Kasparov și alții împotriva Rusiei, nr. 21613/07, 3 octombrie 2013, Curtea a constatat deja o încălcare în privința unor chestiuni similare celor din prezenta cauză.</w:t>
            </w:r>
          </w:p>
          <w:p w14:paraId="0EDF12BE" w14:textId="3A4A6B6B" w:rsidR="008C5764" w:rsidRPr="00074757" w:rsidRDefault="008C5764"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Examinând toate materialele care i-au fost prezentate, Curtea nu a constatat niciun fapt sau argument de natură să o convingă să ajungă la o concluzie diferită cu privire la admisibilitatea și fondul acestor plângeri. Având în vedere jurisprudența sa în materie, Curtea consideră că în prezenta cauză ingerințele în libertatea de întrunire a reclamanților nu erau „necesare într-o societate democratică”.</w:t>
            </w:r>
          </w:p>
          <w:p w14:paraId="76027B24" w14:textId="77777777" w:rsidR="00CF128A" w:rsidRDefault="00CF128A" w:rsidP="00074757">
            <w:pPr>
              <w:widowControl w:val="0"/>
              <w:jc w:val="both"/>
              <w:rPr>
                <w:rFonts w:ascii="Times New Roman" w:hAnsi="Times New Roman" w:cs="Times New Roman"/>
                <w:sz w:val="24"/>
                <w:szCs w:val="24"/>
                <w:lang w:val="ro-RO"/>
              </w:rPr>
            </w:pPr>
          </w:p>
          <w:p w14:paraId="28A3C3B6" w14:textId="0A729E6E" w:rsidR="007D6568" w:rsidRPr="00074757" w:rsidRDefault="008C5764"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Prin urmare, aceste plângeri sunt admisibile și dezvăluie o încălcare a articolului 11 din Convenție.</w:t>
            </w:r>
          </w:p>
        </w:tc>
        <w:tc>
          <w:tcPr>
            <w:tcW w:w="2977" w:type="dxa"/>
          </w:tcPr>
          <w:p w14:paraId="2D97D7B6" w14:textId="5B9B0CF2" w:rsidR="007D6568" w:rsidRPr="00074757" w:rsidRDefault="00CE5F02"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15. În ceea ce privește documentele aflate în posesia sa și jurisprudența acesteia (a se vedea în special Navalnyy și alții împotriva Rusiei [Comitet], nr. 25809/17 și alții 14, § 22, 4 octombrie 2022), precum și ținând cont de hotărârile anterioare acordate de Curte domnului Udimov (cererea nr. 8026/23) (comparați cu Ivanov și alții c. Rusia [Comitet], nr. 44363/14 și alte 2, § 12, 4 iunie 2020, și Puzanov împotriva Rusiei [Comitet], nr. 26895/14 și alte 2 cereri, § 13, 15 septembrie 2022), Curtea apreciază că constatarea unei încălcări în cererea nr. 8026/23 va constitui în sine o satisfacție echitabilă suficientă și consideră rezonabilă acordarea sumelor indicate în tabelul anexat celorlalți solicitanți.</w:t>
            </w:r>
          </w:p>
        </w:tc>
      </w:tr>
      <w:tr w:rsidR="007D6568" w:rsidRPr="00074757" w14:paraId="1D2FD258" w14:textId="77777777" w:rsidTr="005F10B6">
        <w:tc>
          <w:tcPr>
            <w:tcW w:w="1227" w:type="dxa"/>
          </w:tcPr>
          <w:p w14:paraId="62A34C91" w14:textId="7EDD624D"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11</w:t>
            </w:r>
          </w:p>
        </w:tc>
        <w:tc>
          <w:tcPr>
            <w:tcW w:w="1203" w:type="dxa"/>
          </w:tcPr>
          <w:p w14:paraId="2DBD36E3" w14:textId="21001B18"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 xml:space="preserve">Libertatea de </w:t>
            </w:r>
            <w:r w:rsidRPr="00074757">
              <w:rPr>
                <w:rFonts w:ascii="Times New Roman" w:hAnsi="Times New Roman" w:cs="Times New Roman"/>
                <w:sz w:val="24"/>
                <w:szCs w:val="24"/>
                <w:lang w:val="ro-RO"/>
              </w:rPr>
              <w:lastRenderedPageBreak/>
              <w:t>întrunire și asociere</w:t>
            </w:r>
          </w:p>
        </w:tc>
        <w:tc>
          <w:tcPr>
            <w:tcW w:w="1506" w:type="dxa"/>
          </w:tcPr>
          <w:p w14:paraId="4EEF5EA2" w14:textId="05B25D38" w:rsidR="007D6568" w:rsidRPr="00074757" w:rsidRDefault="00280608" w:rsidP="00074757">
            <w:pPr>
              <w:widowControl w:val="0"/>
              <w:jc w:val="both"/>
              <w:rPr>
                <w:rFonts w:ascii="Times New Roman" w:hAnsi="Times New Roman" w:cs="Times New Roman"/>
                <w:sz w:val="24"/>
                <w:szCs w:val="24"/>
                <w:lang w:val="ro-RO"/>
              </w:rPr>
            </w:pPr>
            <w:r w:rsidRPr="00074757">
              <w:rPr>
                <w:rStyle w:val="s29100277"/>
                <w:rFonts w:ascii="Times New Roman" w:hAnsi="Times New Roman" w:cs="Times New Roman"/>
                <w:sz w:val="24"/>
                <w:szCs w:val="24"/>
              </w:rPr>
              <w:lastRenderedPageBreak/>
              <w:t xml:space="preserve">Ilyin Și Alții v. Rusia, no. </w:t>
            </w:r>
            <w:r w:rsidR="007B13A2" w:rsidRPr="00074757">
              <w:rPr>
                <w:rStyle w:val="column"/>
                <w:rFonts w:ascii="Times New Roman" w:hAnsi="Times New Roman" w:cs="Times New Roman"/>
                <w:sz w:val="24"/>
                <w:szCs w:val="24"/>
              </w:rPr>
              <w:lastRenderedPageBreak/>
              <w:t xml:space="preserve">25863/21, hotărârea din </w:t>
            </w:r>
            <w:r w:rsidR="00DA0FEB" w:rsidRPr="00074757">
              <w:rPr>
                <w:rStyle w:val="column"/>
                <w:rFonts w:ascii="Times New Roman" w:hAnsi="Times New Roman" w:cs="Times New Roman"/>
                <w:sz w:val="24"/>
                <w:szCs w:val="24"/>
              </w:rPr>
              <w:t>21/03/2024</w:t>
            </w:r>
          </w:p>
        </w:tc>
        <w:tc>
          <w:tcPr>
            <w:tcW w:w="1417" w:type="dxa"/>
          </w:tcPr>
          <w:p w14:paraId="3666FC56" w14:textId="4175159C" w:rsidR="00CF128A" w:rsidRDefault="00DE7010" w:rsidP="00074757">
            <w:pPr>
              <w:widowControl w:val="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I</w:t>
            </w:r>
            <w:r w:rsidR="005F6715" w:rsidRPr="00074757">
              <w:rPr>
                <w:rFonts w:ascii="Times New Roman" w:hAnsi="Times New Roman" w:cs="Times New Roman"/>
                <w:sz w:val="24"/>
                <w:szCs w:val="24"/>
                <w:lang w:val="ro-RO"/>
              </w:rPr>
              <w:t xml:space="preserve">ngerințele în libertatea </w:t>
            </w:r>
            <w:r w:rsidR="005F6715" w:rsidRPr="00074757">
              <w:rPr>
                <w:rFonts w:ascii="Times New Roman" w:hAnsi="Times New Roman" w:cs="Times New Roman"/>
                <w:sz w:val="24"/>
                <w:szCs w:val="24"/>
                <w:lang w:val="ro-RO"/>
              </w:rPr>
              <w:lastRenderedPageBreak/>
              <w:t>de întrunire</w:t>
            </w:r>
            <w:r w:rsidR="00E8691B">
              <w:rPr>
                <w:rFonts w:ascii="Times New Roman" w:hAnsi="Times New Roman" w:cs="Times New Roman"/>
                <w:sz w:val="24"/>
                <w:szCs w:val="24"/>
                <w:lang w:val="ro-RO"/>
              </w:rPr>
              <w:t>,</w:t>
            </w:r>
            <w:r w:rsidR="005F6715" w:rsidRPr="00074757">
              <w:rPr>
                <w:rFonts w:ascii="Times New Roman" w:hAnsi="Times New Roman" w:cs="Times New Roman"/>
                <w:sz w:val="24"/>
                <w:szCs w:val="24"/>
                <w:lang w:val="ro-RO"/>
              </w:rPr>
              <w:t xml:space="preserve"> </w:t>
            </w:r>
          </w:p>
          <w:p w14:paraId="4DE8EF6A" w14:textId="02DF0951" w:rsidR="007D6568" w:rsidRPr="00074757" w:rsidRDefault="005F6715"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w:t>
            </w:r>
            <w:r w:rsidR="00E8691B">
              <w:rPr>
                <w:rFonts w:ascii="Times New Roman" w:hAnsi="Times New Roman" w:cs="Times New Roman"/>
                <w:sz w:val="24"/>
                <w:szCs w:val="24"/>
                <w:lang w:val="ro-RO"/>
              </w:rPr>
              <w:t>N</w:t>
            </w:r>
            <w:r w:rsidRPr="00074757">
              <w:rPr>
                <w:rFonts w:ascii="Times New Roman" w:hAnsi="Times New Roman" w:cs="Times New Roman"/>
                <w:sz w:val="24"/>
                <w:szCs w:val="24"/>
                <w:lang w:val="ro-RO"/>
              </w:rPr>
              <w:t>ecesare într-o societate democratică”</w:t>
            </w:r>
            <w:r w:rsidR="00E8691B">
              <w:rPr>
                <w:rFonts w:ascii="Times New Roman" w:hAnsi="Times New Roman" w:cs="Times New Roman"/>
                <w:sz w:val="24"/>
                <w:szCs w:val="24"/>
                <w:lang w:val="ro-RO"/>
              </w:rPr>
              <w:t>.</w:t>
            </w:r>
          </w:p>
        </w:tc>
        <w:tc>
          <w:tcPr>
            <w:tcW w:w="6582" w:type="dxa"/>
          </w:tcPr>
          <w:p w14:paraId="7BA2AC25" w14:textId="5A71EF9E" w:rsidR="00E717A1" w:rsidRPr="00074757" w:rsidRDefault="00E717A1"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lastRenderedPageBreak/>
              <w:t xml:space="preserve"> Curtea face trimitere la principiile stabilite în jurisprudența sa cu privire la libertatea de întrunire (a se vedea Kudrevičius și alții </w:t>
            </w:r>
            <w:r w:rsidRPr="00074757">
              <w:rPr>
                <w:rFonts w:ascii="Times New Roman" w:hAnsi="Times New Roman" w:cs="Times New Roman"/>
                <w:sz w:val="24"/>
                <w:szCs w:val="24"/>
                <w:lang w:val="ro-RO"/>
              </w:rPr>
              <w:lastRenderedPageBreak/>
              <w:t>împotriva Lituaniei [GC], nr. 37553/05, CEDO 2015, cu referiri suplimentare) și proporționalitatea ingerinței în aceasta ( a se vedea Oya Ataman împotriva Turciei, nr. 74552/01, CEDO 2006‑XIV, și Hyde Park și alții împotriva Moldovei, nr. 33482/06, 31 martie 2009).</w:t>
            </w:r>
          </w:p>
          <w:p w14:paraId="31FF6DB1" w14:textId="307D8EEC" w:rsidR="00E717A1" w:rsidRPr="00074757" w:rsidRDefault="00E717A1"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În cauzele principale ale Frumkin împotriva Rusiei, nr. 74568/12, CEDO 2016 (extrase), Navalnyy și Yashin împotriva Rusiei, nr. 76204/11, 4 decembrie 2014 și Kasparov și alții împotriva Rusiei, nr. 21613/07, 3 octombrie 2013, Curtea a constatat deja o încălcare în privința unor chestiuni similare celor din prezenta cauză.</w:t>
            </w:r>
          </w:p>
          <w:p w14:paraId="0D0AFBDE" w14:textId="01357125" w:rsidR="00E717A1" w:rsidRPr="00074757" w:rsidRDefault="00E717A1"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Examinând toate materialele care i-au fost prezentate, Curtea nu a constatat niciun fapt sau argument de natură să o convingă să ajungă la o concluzie diferită cu privire la admisibilitatea și fondul acestor plângeri. Având în vedere jurisprudența sa în materie, Curtea consideră că în prezenta cauză ingerințele în libertatea de întrunire a reclamanților nu erau „necesare într-o societate democratică”.</w:t>
            </w:r>
          </w:p>
          <w:p w14:paraId="7C3588D3" w14:textId="54B097AD" w:rsidR="007D6568" w:rsidRPr="00074757" w:rsidRDefault="00E717A1"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Prin urmare, aceste plângeri sunt admisibile și dezvăluie o încălcare a articolului 11 din Convenție.</w:t>
            </w:r>
          </w:p>
        </w:tc>
        <w:tc>
          <w:tcPr>
            <w:tcW w:w="2977" w:type="dxa"/>
          </w:tcPr>
          <w:p w14:paraId="2CCF0642" w14:textId="5BBB174C" w:rsidR="007D6568" w:rsidRPr="00074757" w:rsidRDefault="003F33FF"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lastRenderedPageBreak/>
              <w:t xml:space="preserve">15. Având în vedere documentele aflate în </w:t>
            </w:r>
            <w:r w:rsidRPr="00074757">
              <w:rPr>
                <w:rFonts w:ascii="Times New Roman" w:hAnsi="Times New Roman" w:cs="Times New Roman"/>
                <w:sz w:val="24"/>
                <w:szCs w:val="24"/>
                <w:lang w:val="ro-RO"/>
              </w:rPr>
              <w:lastRenderedPageBreak/>
              <w:t>posesia sa și jurisprudența sa (a se vedea în special Navalnyy și alții împotriva Rusiei [Comitet], nr. 25809/17 și alții 14, § 22, 4 octombrie 2022), Curtea consideră rezonabil să acorde sumele indicate în tabelul anexat.</w:t>
            </w:r>
          </w:p>
        </w:tc>
      </w:tr>
      <w:tr w:rsidR="007D6568" w:rsidRPr="00074757" w14:paraId="276E379B" w14:textId="77777777" w:rsidTr="005F10B6">
        <w:tc>
          <w:tcPr>
            <w:tcW w:w="1227" w:type="dxa"/>
          </w:tcPr>
          <w:p w14:paraId="4EA52E91" w14:textId="419A5032"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lastRenderedPageBreak/>
              <w:t>11</w:t>
            </w:r>
          </w:p>
        </w:tc>
        <w:tc>
          <w:tcPr>
            <w:tcW w:w="1203" w:type="dxa"/>
          </w:tcPr>
          <w:p w14:paraId="31F85E26" w14:textId="38D81022"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Libertatea de întrunire și asociere</w:t>
            </w:r>
          </w:p>
        </w:tc>
        <w:tc>
          <w:tcPr>
            <w:tcW w:w="1506" w:type="dxa"/>
          </w:tcPr>
          <w:p w14:paraId="204099BE" w14:textId="78CE3FFF" w:rsidR="007D6568" w:rsidRPr="00074757" w:rsidRDefault="0090517A" w:rsidP="00074757">
            <w:pPr>
              <w:widowControl w:val="0"/>
              <w:jc w:val="both"/>
              <w:rPr>
                <w:rFonts w:ascii="Times New Roman" w:hAnsi="Times New Roman" w:cs="Times New Roman"/>
                <w:sz w:val="24"/>
                <w:szCs w:val="24"/>
                <w:lang w:val="ro-RO"/>
              </w:rPr>
            </w:pPr>
            <w:r w:rsidRPr="00074757">
              <w:rPr>
                <w:rStyle w:val="s29100277"/>
                <w:rFonts w:ascii="Times New Roman" w:hAnsi="Times New Roman" w:cs="Times New Roman"/>
                <w:sz w:val="24"/>
                <w:szCs w:val="24"/>
              </w:rPr>
              <w:t>B.A. v. Turcia</w:t>
            </w:r>
            <w:r w:rsidR="000F42A3" w:rsidRPr="00074757">
              <w:rPr>
                <w:rStyle w:val="s29100277"/>
                <w:rFonts w:ascii="Times New Roman" w:hAnsi="Times New Roman" w:cs="Times New Roman"/>
                <w:sz w:val="24"/>
                <w:szCs w:val="24"/>
              </w:rPr>
              <w:t xml:space="preserve">, no. </w:t>
            </w:r>
            <w:r w:rsidR="007C7854" w:rsidRPr="00074757">
              <w:rPr>
                <w:rStyle w:val="column"/>
                <w:rFonts w:ascii="Times New Roman" w:hAnsi="Times New Roman" w:cs="Times New Roman"/>
                <w:sz w:val="24"/>
                <w:szCs w:val="24"/>
              </w:rPr>
              <w:t xml:space="preserve">65524/12, hotărârea din </w:t>
            </w:r>
            <w:r w:rsidR="00FF3616" w:rsidRPr="00074757">
              <w:rPr>
                <w:rStyle w:val="column"/>
                <w:rFonts w:ascii="Times New Roman" w:hAnsi="Times New Roman" w:cs="Times New Roman"/>
                <w:sz w:val="24"/>
                <w:szCs w:val="24"/>
              </w:rPr>
              <w:t>24/09/2024</w:t>
            </w:r>
          </w:p>
        </w:tc>
        <w:tc>
          <w:tcPr>
            <w:tcW w:w="1417" w:type="dxa"/>
          </w:tcPr>
          <w:p w14:paraId="77E02407" w14:textId="3BF82CF3" w:rsidR="003069DD" w:rsidRDefault="00E8691B" w:rsidP="00074757">
            <w:pPr>
              <w:widowControl w:val="0"/>
              <w:jc w:val="both"/>
              <w:rPr>
                <w:rFonts w:ascii="Times New Roman" w:hAnsi="Times New Roman" w:cs="Times New Roman"/>
                <w:sz w:val="24"/>
                <w:szCs w:val="24"/>
                <w:lang w:val="ro-RO"/>
              </w:rPr>
            </w:pPr>
            <w:r>
              <w:rPr>
                <w:rFonts w:ascii="Times New Roman" w:hAnsi="Times New Roman" w:cs="Times New Roman"/>
                <w:sz w:val="24"/>
                <w:szCs w:val="24"/>
                <w:lang w:val="ro-RO"/>
              </w:rPr>
              <w:t>F</w:t>
            </w:r>
            <w:r w:rsidR="00466D5B" w:rsidRPr="00074757">
              <w:rPr>
                <w:rFonts w:ascii="Times New Roman" w:hAnsi="Times New Roman" w:cs="Times New Roman"/>
                <w:sz w:val="24"/>
                <w:szCs w:val="24"/>
                <w:lang w:val="ro-RO"/>
              </w:rPr>
              <w:t xml:space="preserve">apta </w:t>
            </w:r>
            <w:r w:rsidR="00E82AE2" w:rsidRPr="00074757">
              <w:rPr>
                <w:rFonts w:ascii="Times New Roman" w:hAnsi="Times New Roman" w:cs="Times New Roman"/>
                <w:sz w:val="24"/>
                <w:szCs w:val="24"/>
                <w:lang w:val="ro-RO"/>
              </w:rPr>
              <w:t xml:space="preserve">„prevăzută de legea”, </w:t>
            </w:r>
          </w:p>
          <w:p w14:paraId="4523E54E" w14:textId="3756485B" w:rsidR="007D6568" w:rsidRPr="00074757" w:rsidRDefault="00E8691B" w:rsidP="00076255">
            <w:pPr>
              <w:widowControl w:val="0"/>
              <w:jc w:val="both"/>
              <w:rPr>
                <w:rFonts w:ascii="Times New Roman" w:hAnsi="Times New Roman" w:cs="Times New Roman"/>
                <w:sz w:val="24"/>
                <w:szCs w:val="24"/>
                <w:lang w:val="ro-RO"/>
              </w:rPr>
            </w:pPr>
            <w:r>
              <w:rPr>
                <w:rFonts w:ascii="Times New Roman" w:hAnsi="Times New Roman" w:cs="Times New Roman"/>
                <w:sz w:val="24"/>
                <w:szCs w:val="24"/>
                <w:lang w:val="ro-RO"/>
              </w:rPr>
              <w:t>U</w:t>
            </w:r>
            <w:r w:rsidR="00E82AE2" w:rsidRPr="00074757">
              <w:rPr>
                <w:rFonts w:ascii="Times New Roman" w:hAnsi="Times New Roman" w:cs="Times New Roman"/>
                <w:sz w:val="24"/>
                <w:szCs w:val="24"/>
                <w:lang w:val="ro-RO"/>
              </w:rPr>
              <w:t>rmărește unul sau mai multe scopuri legitime</w:t>
            </w:r>
            <w:r>
              <w:rPr>
                <w:rFonts w:ascii="Times New Roman" w:hAnsi="Times New Roman" w:cs="Times New Roman"/>
                <w:sz w:val="24"/>
                <w:szCs w:val="24"/>
                <w:lang w:val="ro-RO"/>
              </w:rPr>
              <w:t xml:space="preserve">. </w:t>
            </w:r>
            <w:r w:rsidR="00E82AE2" w:rsidRPr="00074757">
              <w:rPr>
                <w:rFonts w:ascii="Times New Roman" w:hAnsi="Times New Roman" w:cs="Times New Roman"/>
                <w:sz w:val="24"/>
                <w:szCs w:val="24"/>
                <w:lang w:val="ro-RO"/>
              </w:rPr>
              <w:t>„</w:t>
            </w:r>
            <w:r>
              <w:rPr>
                <w:rFonts w:ascii="Times New Roman" w:hAnsi="Times New Roman" w:cs="Times New Roman"/>
                <w:sz w:val="24"/>
                <w:szCs w:val="24"/>
                <w:lang w:val="ro-RO"/>
              </w:rPr>
              <w:t>N</w:t>
            </w:r>
            <w:r w:rsidR="00E82AE2" w:rsidRPr="00074757">
              <w:rPr>
                <w:rFonts w:ascii="Times New Roman" w:hAnsi="Times New Roman" w:cs="Times New Roman"/>
                <w:sz w:val="24"/>
                <w:szCs w:val="24"/>
                <w:lang w:val="ro-RO"/>
              </w:rPr>
              <w:t>ecesar într-o societate democratică”</w:t>
            </w:r>
            <w:r w:rsidR="00076255">
              <w:rPr>
                <w:rFonts w:ascii="Times New Roman" w:hAnsi="Times New Roman" w:cs="Times New Roman"/>
                <w:sz w:val="24"/>
                <w:szCs w:val="24"/>
                <w:lang w:val="ro-RO"/>
              </w:rPr>
              <w:t>.</w:t>
            </w:r>
          </w:p>
        </w:tc>
        <w:tc>
          <w:tcPr>
            <w:tcW w:w="6582" w:type="dxa"/>
          </w:tcPr>
          <w:p w14:paraId="1902C675" w14:textId="04CB925B" w:rsidR="007D1500" w:rsidRPr="00074757" w:rsidRDefault="007D1500"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Curtea consideră că pedepsele aplicate reclamantului din cauza participării sale la demonstrația contestată echivalează cu o ingerință în exercitarea dreptului său la libertatea de întrunire și că o astfel de ingerință încalcă articolul 11, cu excepția cazului în care este „prevăzută de legea”, dacă urmărește unul sau mai multe scopuri legitime menționate la paragraful 2 al acestei dispoziții și dacă este „necesar într-o societate democratică” pentru a le atinge (Çiçek și altele, citate mai sus, §§ 155-156).</w:t>
            </w:r>
          </w:p>
          <w:p w14:paraId="5D4DDCB4" w14:textId="637B62D7" w:rsidR="007D1500" w:rsidRPr="00074757" w:rsidRDefault="007D1500"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Curtea constată că a examinat deja o plângere aproape identică în cauzele Işıkırık (nr. 41226/09, §§ 55-70, 14 noiembrie 2017) și Çiçek și alții (citați mai sus, §§ 157-163) , și că a concluzionat că a existat o încălcare a articolului 11 din Convenție.</w:t>
            </w:r>
          </w:p>
          <w:p w14:paraId="47CB39CC" w14:textId="643F4B4A" w:rsidR="007D1500" w:rsidRPr="00074757" w:rsidRDefault="007D1500"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 xml:space="preserve">În speță, Curtea reține că reclamantul a fost condamnat, în temeiul articolelor 220 § 6 și 314 § 2 din Codul penal, la o pedeapsă cu închisoarea pentru că a participat la manifestația sus-menționată acoperindu-și fața, scandând sloganuri în favoarea PKK și a liderului acestuia și aruncarea cu pietre în poliție. Deși reclamantul a fost găsit vinovat de aruncarea cu pietre în polițiști și, prin urmare, a luat parte la acte de violență, Curtea consideră că nu </w:t>
            </w:r>
            <w:r w:rsidRPr="00074757">
              <w:rPr>
                <w:rFonts w:ascii="Times New Roman" w:hAnsi="Times New Roman" w:cs="Times New Roman"/>
                <w:sz w:val="24"/>
                <w:szCs w:val="24"/>
                <w:lang w:val="ro-RO"/>
              </w:rPr>
              <w:lastRenderedPageBreak/>
              <w:t>există niciun motiv pentru a adopta în prezenta cauză concluzii diferite de cele la care s-a ajuns în cauzele Ișıkırık (citată mai sus, § § 55-70) și Çiçek și alții, citați mai sus, §§ 157-163) cu privire la lipsa de previzibilitate a articolului 220 § 6 cod penal.</w:t>
            </w:r>
          </w:p>
          <w:p w14:paraId="5BA5EEA1" w14:textId="10B25ABF" w:rsidR="007D1500" w:rsidRPr="00074757" w:rsidRDefault="007D1500"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În consecință, ingerința rezultată din aplicarea în speță a articolului 220 § 6 din Codul penal nu a fost prevăzută de lege și a existat o încălcare a articolului 11 din Convenție.</w:t>
            </w:r>
          </w:p>
          <w:p w14:paraId="0D20AB25" w14:textId="47D4DAAC" w:rsidR="007D6568" w:rsidRPr="00074757" w:rsidRDefault="007D1500"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 xml:space="preserve"> În ceea ce privește condamnarea reclamantului în temeiul Legii nr. 2991, ținând cont de constatarea încălcării articolului 11 din Convenție la care sa ajuns mai sus, Curtea nu consideră necesar să se verifice dacă ingerința în dreptul la libertatea de întrunire a fost justificată (. a se vedea Işıkırık, citată mai sus, § 71, și Çiçek și alții, citată mai sus, § 164).</w:t>
            </w:r>
          </w:p>
        </w:tc>
        <w:tc>
          <w:tcPr>
            <w:tcW w:w="2977" w:type="dxa"/>
          </w:tcPr>
          <w:p w14:paraId="21978271" w14:textId="77777777" w:rsidR="00D54F3B" w:rsidRPr="00074757" w:rsidRDefault="00D54F3B"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lastRenderedPageBreak/>
              <w:t>27. În ceea ce privește prejudiciul material, Curtea reamintește că trebuie să existe o legătură de cauzalitate clară între prejudiciul pretins de persoana în cauză și încălcarea Convenției (Bykov c. Rusia [GC], nr. 4378/02, § 110, 10 martie 2009). Având în vedere elementele dosarului, nu este convinsă de existența unei legături de cauzalitate suficientă între prejudiciul material pretins și încălcarea constatată. În consecință, respinge această cerere.</w:t>
            </w:r>
          </w:p>
          <w:p w14:paraId="4C73EE36" w14:textId="77777777" w:rsidR="00D54F3B" w:rsidRPr="00074757" w:rsidRDefault="00D54F3B" w:rsidP="00074757">
            <w:pPr>
              <w:widowControl w:val="0"/>
              <w:jc w:val="both"/>
              <w:rPr>
                <w:rFonts w:ascii="Times New Roman" w:hAnsi="Times New Roman" w:cs="Times New Roman"/>
                <w:sz w:val="24"/>
                <w:szCs w:val="24"/>
                <w:lang w:val="ro-RO"/>
              </w:rPr>
            </w:pPr>
          </w:p>
          <w:p w14:paraId="16865A32" w14:textId="20373E86" w:rsidR="00D54F3B" w:rsidRPr="00074757" w:rsidRDefault="00D54F3B"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lastRenderedPageBreak/>
              <w:t xml:space="preserve"> Pe de altă parte, Curtea consideră că reclamantul a suferit un prejudiciu moral care nu este suficient compensat prin constatarea unei încălcări a Convenției. Având în vedere împrejurările cauzei și pronunțând în mod echitabil, acordă persoanei în cauză 7.500 EUR cu titlu de prejudiciu moral, plus orice sumă care poate fi datorată din această sumă cu titlu de impozit.</w:t>
            </w:r>
          </w:p>
          <w:p w14:paraId="3B3EFC11" w14:textId="77777777" w:rsidR="00D54F3B" w:rsidRPr="00074757" w:rsidRDefault="00D54F3B" w:rsidP="00074757">
            <w:pPr>
              <w:widowControl w:val="0"/>
              <w:jc w:val="both"/>
              <w:rPr>
                <w:rFonts w:ascii="Times New Roman" w:hAnsi="Times New Roman" w:cs="Times New Roman"/>
                <w:sz w:val="24"/>
                <w:szCs w:val="24"/>
                <w:lang w:val="ro-RO"/>
              </w:rPr>
            </w:pPr>
          </w:p>
          <w:p w14:paraId="39525AB2" w14:textId="1410783A" w:rsidR="007D6568" w:rsidRPr="00074757" w:rsidRDefault="00D54F3B"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În ceea ce privește costurile și cheltuielile, potrivit jurisprudenței Curții, un reclamant poate obține rambursarea costurilor și cheltuielilor sale numai în măsura în care sunt stabilite realitatea acestora, necesitatea și caracterul rezonabil al tarifului lor (a se vedea, printre altele, F.G împotriva Suediei [GC], nr. 43611/11, § 167, 23 martie 2016). Acesta observă că reclamanta nu a prezentat documentele justificative necesare în acest sens. Prin urmare, ea respinge cererea.</w:t>
            </w:r>
          </w:p>
        </w:tc>
      </w:tr>
      <w:tr w:rsidR="007D6568" w:rsidRPr="00074757" w14:paraId="36E4FF83" w14:textId="77777777" w:rsidTr="005F10B6">
        <w:tc>
          <w:tcPr>
            <w:tcW w:w="1227" w:type="dxa"/>
          </w:tcPr>
          <w:p w14:paraId="004CCD38" w14:textId="2FC86985"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lastRenderedPageBreak/>
              <w:t>11</w:t>
            </w:r>
          </w:p>
        </w:tc>
        <w:tc>
          <w:tcPr>
            <w:tcW w:w="1203" w:type="dxa"/>
          </w:tcPr>
          <w:p w14:paraId="1D699BB0" w14:textId="4482306B" w:rsidR="007D6568" w:rsidRPr="00074757" w:rsidRDefault="007D6568"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 xml:space="preserve">Libertatea de întrunire și </w:t>
            </w:r>
            <w:r w:rsidRPr="00074757">
              <w:rPr>
                <w:rFonts w:ascii="Times New Roman" w:hAnsi="Times New Roman" w:cs="Times New Roman"/>
                <w:sz w:val="24"/>
                <w:szCs w:val="24"/>
                <w:lang w:val="ro-RO"/>
              </w:rPr>
              <w:lastRenderedPageBreak/>
              <w:t>asociere</w:t>
            </w:r>
          </w:p>
        </w:tc>
        <w:tc>
          <w:tcPr>
            <w:tcW w:w="1506" w:type="dxa"/>
          </w:tcPr>
          <w:p w14:paraId="77866735" w14:textId="2851B68F" w:rsidR="007D6568" w:rsidRPr="00074757" w:rsidRDefault="00977A08" w:rsidP="00074757">
            <w:pPr>
              <w:widowControl w:val="0"/>
              <w:jc w:val="both"/>
              <w:rPr>
                <w:rFonts w:ascii="Times New Roman" w:hAnsi="Times New Roman" w:cs="Times New Roman"/>
                <w:sz w:val="24"/>
                <w:szCs w:val="24"/>
                <w:lang w:val="ro-RO"/>
              </w:rPr>
            </w:pPr>
            <w:r w:rsidRPr="00074757">
              <w:rPr>
                <w:rStyle w:val="s29100277"/>
                <w:rFonts w:ascii="Times New Roman" w:hAnsi="Times New Roman" w:cs="Times New Roman"/>
                <w:sz w:val="24"/>
                <w:szCs w:val="24"/>
              </w:rPr>
              <w:lastRenderedPageBreak/>
              <w:t xml:space="preserve">Pistik Și Alții V. Rusia, No. </w:t>
            </w:r>
            <w:r w:rsidR="005B01AE" w:rsidRPr="00074757">
              <w:rPr>
                <w:rStyle w:val="column"/>
                <w:rFonts w:ascii="Times New Roman" w:hAnsi="Times New Roman" w:cs="Times New Roman"/>
                <w:sz w:val="24"/>
                <w:szCs w:val="24"/>
              </w:rPr>
              <w:t xml:space="preserve">25287/23, Hotărârea </w:t>
            </w:r>
            <w:r w:rsidR="005B01AE" w:rsidRPr="00074757">
              <w:rPr>
                <w:rStyle w:val="column"/>
                <w:rFonts w:ascii="Times New Roman" w:hAnsi="Times New Roman" w:cs="Times New Roman"/>
                <w:sz w:val="24"/>
                <w:szCs w:val="24"/>
              </w:rPr>
              <w:lastRenderedPageBreak/>
              <w:t xml:space="preserve">din </w:t>
            </w:r>
            <w:r w:rsidR="008B03C9" w:rsidRPr="00074757">
              <w:rPr>
                <w:rStyle w:val="column"/>
                <w:rFonts w:ascii="Times New Roman" w:hAnsi="Times New Roman" w:cs="Times New Roman"/>
                <w:sz w:val="24"/>
                <w:szCs w:val="24"/>
              </w:rPr>
              <w:t>13/06/2024</w:t>
            </w:r>
          </w:p>
        </w:tc>
        <w:tc>
          <w:tcPr>
            <w:tcW w:w="1417" w:type="dxa"/>
          </w:tcPr>
          <w:p w14:paraId="7A325449" w14:textId="4EC4BED0" w:rsidR="007D6568" w:rsidRPr="00074757" w:rsidRDefault="00844BE3"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lastRenderedPageBreak/>
              <w:t xml:space="preserve">Măsuri disproporționate luate împotriva </w:t>
            </w:r>
            <w:r w:rsidR="007A5612" w:rsidRPr="00074757">
              <w:rPr>
                <w:rFonts w:ascii="Times New Roman" w:hAnsi="Times New Roman" w:cs="Times New Roman"/>
                <w:sz w:val="24"/>
                <w:szCs w:val="24"/>
                <w:lang w:val="ro-RO"/>
              </w:rPr>
              <w:lastRenderedPageBreak/>
              <w:t>reclamanților</w:t>
            </w:r>
            <w:r w:rsidRPr="00074757">
              <w:rPr>
                <w:rFonts w:ascii="Times New Roman" w:hAnsi="Times New Roman" w:cs="Times New Roman"/>
                <w:sz w:val="24"/>
                <w:szCs w:val="24"/>
                <w:lang w:val="ro-RO"/>
              </w:rPr>
              <w:t xml:space="preserve"> în calitate de organizatori sau participanți la întruniri publice</w:t>
            </w:r>
            <w:r w:rsidR="00605558" w:rsidRPr="00074757">
              <w:rPr>
                <w:rFonts w:ascii="Times New Roman" w:hAnsi="Times New Roman" w:cs="Times New Roman"/>
                <w:sz w:val="24"/>
                <w:szCs w:val="24"/>
                <w:lang w:val="ro-RO"/>
              </w:rPr>
              <w:t>.</w:t>
            </w:r>
          </w:p>
        </w:tc>
        <w:tc>
          <w:tcPr>
            <w:tcW w:w="6582" w:type="dxa"/>
          </w:tcPr>
          <w:p w14:paraId="00E9E977" w14:textId="6F6A2F71" w:rsidR="00A54692" w:rsidRPr="00074757" w:rsidRDefault="00A54692"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lastRenderedPageBreak/>
              <w:t xml:space="preserve">Reclamanții s-au plâns în principal de măsurile disproporționate luate împotriva lor în calitate de organizatori sau participanți la întruniri publice, și anume arestarea lor în legătură cu dispersarea acestor întruniri și condamnarea lor pentru infracțiuni </w:t>
            </w:r>
            <w:r w:rsidRPr="00074757">
              <w:rPr>
                <w:rFonts w:ascii="Times New Roman" w:hAnsi="Times New Roman" w:cs="Times New Roman"/>
                <w:sz w:val="24"/>
                <w:szCs w:val="24"/>
                <w:lang w:val="ro-RO"/>
              </w:rPr>
              <w:lastRenderedPageBreak/>
              <w:t>administrative. Aceștia s-au bazat, în mod expres sau pe fond, pe articolul 11</w:t>
            </w:r>
            <w:r w:rsidR="006873A0" w:rsidRPr="00074757">
              <w:rPr>
                <w:rFonts w:ascii="Times New Roman" w:hAnsi="Times New Roman" w:cs="Times New Roman"/>
                <w:sz w:val="24"/>
                <w:szCs w:val="24"/>
                <w:lang w:val="ro-RO"/>
              </w:rPr>
              <w:t xml:space="preserve"> </w:t>
            </w:r>
            <w:r w:rsidRPr="00074757">
              <w:rPr>
                <w:rFonts w:ascii="Times New Roman" w:hAnsi="Times New Roman" w:cs="Times New Roman"/>
                <w:sz w:val="24"/>
                <w:szCs w:val="24"/>
                <w:lang w:val="ro-RO"/>
              </w:rPr>
              <w:t>din Convenție.</w:t>
            </w:r>
          </w:p>
          <w:p w14:paraId="39DAAFEF" w14:textId="7ADE9087" w:rsidR="00A54692" w:rsidRPr="00074757" w:rsidRDefault="00A54692"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Curtea face trimitere la principiile stabilite în jurisprudența sa cu privire la libertatea de întrunire (a se vedea Kudrevičius și alții împotriva Lituaniei [GC], nr. 37553/05, CEDO 2015, cu referiri suplimentare) și proporționalitatea ingerinței în aceasta ( a se vedea Oya Ataman împotriva Turciei, nr. 74552/01, CEDO 2006‑XIV, și Hyde Park și alții împotriva Moldovei, nr. 33482/06, 31 martie 2009).</w:t>
            </w:r>
          </w:p>
          <w:p w14:paraId="22BEE985" w14:textId="25C24FEB" w:rsidR="00A54692" w:rsidRPr="00074757" w:rsidRDefault="00A54692"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În cauzele principale ale Frumkin împotriva Rusiei, nr. 74568/12, CEDO 2016 (extrase), Navalnyy și Yashin împotriva Rusiei, nr. 76204/11, 4 decembrie 2014 și Kasparov și alții împotriva Rusiei, nr. 21613/07, 3 octombrie 2013, Curtea a constatat deja o încălcare în privința unor chestiuni similare celor din prezenta cauză.</w:t>
            </w:r>
          </w:p>
          <w:p w14:paraId="77D8746B" w14:textId="4DF92ED4" w:rsidR="007D6568" w:rsidRPr="00074757" w:rsidRDefault="00A54692"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t xml:space="preserve"> Examinând toate materialele care i-au fost prezentate, Curtea nu a constatat niciun fapt sau argument de natură să o convingă să ajungă la o concluzie diferită cu privire la admisibilitatea și fondul acestor plângeri. Având în vedere jurisprudența sa în materie, Curtea consideră că în prezenta cauză ingerințele în libertatea de întrunire a reclamanților nu erau „necesare într-o societate democratică”.</w:t>
            </w:r>
          </w:p>
        </w:tc>
        <w:tc>
          <w:tcPr>
            <w:tcW w:w="2977" w:type="dxa"/>
          </w:tcPr>
          <w:p w14:paraId="45F72F79" w14:textId="0656BC16" w:rsidR="007D6568" w:rsidRPr="00074757" w:rsidRDefault="00C1638D" w:rsidP="00074757">
            <w:pPr>
              <w:widowControl w:val="0"/>
              <w:jc w:val="both"/>
              <w:rPr>
                <w:rFonts w:ascii="Times New Roman" w:hAnsi="Times New Roman" w:cs="Times New Roman"/>
                <w:sz w:val="24"/>
                <w:szCs w:val="24"/>
                <w:lang w:val="ro-RO"/>
              </w:rPr>
            </w:pPr>
            <w:r w:rsidRPr="00074757">
              <w:rPr>
                <w:rFonts w:ascii="Times New Roman" w:hAnsi="Times New Roman" w:cs="Times New Roman"/>
                <w:sz w:val="24"/>
                <w:szCs w:val="24"/>
                <w:lang w:val="ro-RO"/>
              </w:rPr>
              <w:lastRenderedPageBreak/>
              <w:t xml:space="preserve"> Având în vedere documentele aflate în posesia sa și jurisprudența sa (a se vedea în special </w:t>
            </w:r>
            <w:r w:rsidRPr="00074757">
              <w:rPr>
                <w:rFonts w:ascii="Times New Roman" w:hAnsi="Times New Roman" w:cs="Times New Roman"/>
                <w:sz w:val="24"/>
                <w:szCs w:val="24"/>
                <w:lang w:val="ro-RO"/>
              </w:rPr>
              <w:lastRenderedPageBreak/>
              <w:t>Navalnyy și alții împotriva Rusiei [Comitet], nr. 25809/17 și alții 14, § 22, 4 octombrie 2022), Curtea consideră rezonabil să acorde sumele indicate în tabelul anexat.</w:t>
            </w:r>
          </w:p>
        </w:tc>
      </w:tr>
    </w:tbl>
    <w:p w14:paraId="072A4F2F" w14:textId="77777777" w:rsidR="00710959" w:rsidRPr="00074757" w:rsidRDefault="00710959" w:rsidP="00074757">
      <w:pPr>
        <w:widowControl w:val="0"/>
        <w:jc w:val="both"/>
        <w:rPr>
          <w:rFonts w:ascii="Times New Roman" w:hAnsi="Times New Roman" w:cs="Times New Roman"/>
          <w:sz w:val="24"/>
          <w:szCs w:val="24"/>
          <w:lang w:val="ro-RO"/>
        </w:rPr>
      </w:pPr>
    </w:p>
    <w:sectPr w:rsidR="00710959" w:rsidRPr="00074757" w:rsidSect="008E784B">
      <w:footerReference w:type="default" r:id="rId6"/>
      <w:pgSz w:w="15840" w:h="12240" w:orient="landscape" w:code="1"/>
      <w:pgMar w:top="567" w:right="567" w:bottom="567"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E2AD85" w14:textId="77777777" w:rsidR="0019678A" w:rsidRDefault="0019678A" w:rsidP="00D912BE">
      <w:pPr>
        <w:spacing w:after="0" w:line="240" w:lineRule="auto"/>
      </w:pPr>
      <w:r>
        <w:separator/>
      </w:r>
    </w:p>
  </w:endnote>
  <w:endnote w:type="continuationSeparator" w:id="0">
    <w:p w14:paraId="3516C775" w14:textId="77777777" w:rsidR="0019678A" w:rsidRDefault="0019678A" w:rsidP="00D91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43"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imes New Roman"/>
      </w:rPr>
      <w:id w:val="373666276"/>
      <w:docPartObj>
        <w:docPartGallery w:val="Page Numbers (Bottom of Page)"/>
        <w:docPartUnique/>
      </w:docPartObj>
    </w:sdtPr>
    <w:sdtEndPr>
      <w:rPr>
        <w:noProof/>
      </w:rPr>
    </w:sdtEndPr>
    <w:sdtContent>
      <w:p w14:paraId="7F8FD5CA" w14:textId="646AD3A4" w:rsidR="00D912BE" w:rsidRPr="001B5D0A" w:rsidRDefault="00D912BE" w:rsidP="00D912BE">
        <w:pPr>
          <w:pStyle w:val="af"/>
          <w:jc w:val="right"/>
          <w:rPr>
            <w:rFonts w:cs="Times New Roman"/>
          </w:rPr>
        </w:pPr>
        <w:r w:rsidRPr="001B5D0A">
          <w:rPr>
            <w:rFonts w:cs="Times New Roman"/>
          </w:rPr>
          <w:fldChar w:fldCharType="begin"/>
        </w:r>
        <w:r w:rsidRPr="001B5D0A">
          <w:rPr>
            <w:rFonts w:cs="Times New Roman"/>
          </w:rPr>
          <w:instrText xml:space="preserve"> PAGE   \* MERGEFORMAT </w:instrText>
        </w:r>
        <w:r w:rsidRPr="001B5D0A">
          <w:rPr>
            <w:rFonts w:cs="Times New Roman"/>
          </w:rPr>
          <w:fldChar w:fldCharType="separate"/>
        </w:r>
        <w:r w:rsidR="00D733D2">
          <w:rPr>
            <w:rFonts w:cs="Times New Roman"/>
            <w:noProof/>
          </w:rPr>
          <w:t>2</w:t>
        </w:r>
        <w:r w:rsidRPr="001B5D0A">
          <w:rPr>
            <w:rFonts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F5974" w14:textId="77777777" w:rsidR="0019678A" w:rsidRDefault="0019678A" w:rsidP="00D912BE">
      <w:pPr>
        <w:spacing w:after="0" w:line="240" w:lineRule="auto"/>
      </w:pPr>
      <w:r>
        <w:separator/>
      </w:r>
    </w:p>
  </w:footnote>
  <w:footnote w:type="continuationSeparator" w:id="0">
    <w:p w14:paraId="72B312E2" w14:textId="77777777" w:rsidR="0019678A" w:rsidRDefault="0019678A" w:rsidP="00D912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B01"/>
    <w:rsid w:val="00010147"/>
    <w:rsid w:val="0001080F"/>
    <w:rsid w:val="00016428"/>
    <w:rsid w:val="00031F45"/>
    <w:rsid w:val="0003466B"/>
    <w:rsid w:val="000562FF"/>
    <w:rsid w:val="00063906"/>
    <w:rsid w:val="00064D76"/>
    <w:rsid w:val="00074265"/>
    <w:rsid w:val="00074757"/>
    <w:rsid w:val="00076255"/>
    <w:rsid w:val="00080B2A"/>
    <w:rsid w:val="000858B5"/>
    <w:rsid w:val="000A6D4F"/>
    <w:rsid w:val="000D2F81"/>
    <w:rsid w:val="000D4ABD"/>
    <w:rsid w:val="000E2CE2"/>
    <w:rsid w:val="000F39CB"/>
    <w:rsid w:val="000F42A3"/>
    <w:rsid w:val="00102534"/>
    <w:rsid w:val="00121E54"/>
    <w:rsid w:val="00145F88"/>
    <w:rsid w:val="001503D3"/>
    <w:rsid w:val="00161FB8"/>
    <w:rsid w:val="00173943"/>
    <w:rsid w:val="00177971"/>
    <w:rsid w:val="00177B75"/>
    <w:rsid w:val="0018499C"/>
    <w:rsid w:val="0019631F"/>
    <w:rsid w:val="0019678A"/>
    <w:rsid w:val="001A110D"/>
    <w:rsid w:val="001A6A79"/>
    <w:rsid w:val="001B5D0A"/>
    <w:rsid w:val="001D4257"/>
    <w:rsid w:val="001F6E10"/>
    <w:rsid w:val="00204C54"/>
    <w:rsid w:val="002127D6"/>
    <w:rsid w:val="00212DFC"/>
    <w:rsid w:val="00216063"/>
    <w:rsid w:val="002163D5"/>
    <w:rsid w:val="0021781A"/>
    <w:rsid w:val="00227EF3"/>
    <w:rsid w:val="002332BB"/>
    <w:rsid w:val="00237FBE"/>
    <w:rsid w:val="002403AD"/>
    <w:rsid w:val="0024471A"/>
    <w:rsid w:val="002501A3"/>
    <w:rsid w:val="00252F4B"/>
    <w:rsid w:val="00276204"/>
    <w:rsid w:val="00280608"/>
    <w:rsid w:val="00284FD8"/>
    <w:rsid w:val="00296E43"/>
    <w:rsid w:val="002B2B01"/>
    <w:rsid w:val="002C14C1"/>
    <w:rsid w:val="002C210C"/>
    <w:rsid w:val="002D5986"/>
    <w:rsid w:val="002D717B"/>
    <w:rsid w:val="002E3BBD"/>
    <w:rsid w:val="002F1BA1"/>
    <w:rsid w:val="002F2488"/>
    <w:rsid w:val="003030B7"/>
    <w:rsid w:val="003069DD"/>
    <w:rsid w:val="00316F40"/>
    <w:rsid w:val="00317348"/>
    <w:rsid w:val="00325401"/>
    <w:rsid w:val="00325697"/>
    <w:rsid w:val="0032703A"/>
    <w:rsid w:val="00333B64"/>
    <w:rsid w:val="0034178C"/>
    <w:rsid w:val="00341BD1"/>
    <w:rsid w:val="003504BA"/>
    <w:rsid w:val="00362463"/>
    <w:rsid w:val="003740E7"/>
    <w:rsid w:val="00374EAB"/>
    <w:rsid w:val="0037795E"/>
    <w:rsid w:val="00391F6A"/>
    <w:rsid w:val="003B40D3"/>
    <w:rsid w:val="003B769C"/>
    <w:rsid w:val="003C576C"/>
    <w:rsid w:val="003C7343"/>
    <w:rsid w:val="003D5E4E"/>
    <w:rsid w:val="003E0865"/>
    <w:rsid w:val="003E6FF2"/>
    <w:rsid w:val="003E7C09"/>
    <w:rsid w:val="003F33FF"/>
    <w:rsid w:val="00407D96"/>
    <w:rsid w:val="004103A6"/>
    <w:rsid w:val="00414FEF"/>
    <w:rsid w:val="00422B8F"/>
    <w:rsid w:val="00437084"/>
    <w:rsid w:val="00440602"/>
    <w:rsid w:val="004557CC"/>
    <w:rsid w:val="00466D5B"/>
    <w:rsid w:val="0048523E"/>
    <w:rsid w:val="00487DB6"/>
    <w:rsid w:val="00490254"/>
    <w:rsid w:val="00492578"/>
    <w:rsid w:val="004972A3"/>
    <w:rsid w:val="004A3372"/>
    <w:rsid w:val="004A42CD"/>
    <w:rsid w:val="004C17B9"/>
    <w:rsid w:val="004D6FD8"/>
    <w:rsid w:val="004E0ECB"/>
    <w:rsid w:val="004E21C3"/>
    <w:rsid w:val="004F0546"/>
    <w:rsid w:val="004F0A9E"/>
    <w:rsid w:val="004F2E84"/>
    <w:rsid w:val="0051091B"/>
    <w:rsid w:val="00513D43"/>
    <w:rsid w:val="00517202"/>
    <w:rsid w:val="00526374"/>
    <w:rsid w:val="0053001F"/>
    <w:rsid w:val="005453E8"/>
    <w:rsid w:val="00546BA3"/>
    <w:rsid w:val="005474CD"/>
    <w:rsid w:val="005513E2"/>
    <w:rsid w:val="0055726E"/>
    <w:rsid w:val="0057738A"/>
    <w:rsid w:val="00591772"/>
    <w:rsid w:val="005B01AE"/>
    <w:rsid w:val="005B7CEF"/>
    <w:rsid w:val="005C0658"/>
    <w:rsid w:val="005C178B"/>
    <w:rsid w:val="005C7AC6"/>
    <w:rsid w:val="005D2011"/>
    <w:rsid w:val="005D5E73"/>
    <w:rsid w:val="005E6500"/>
    <w:rsid w:val="005F10B6"/>
    <w:rsid w:val="005F2C42"/>
    <w:rsid w:val="005F6715"/>
    <w:rsid w:val="00601A7E"/>
    <w:rsid w:val="00605558"/>
    <w:rsid w:val="006062C4"/>
    <w:rsid w:val="00612EF9"/>
    <w:rsid w:val="006156D6"/>
    <w:rsid w:val="006200EC"/>
    <w:rsid w:val="00637DAD"/>
    <w:rsid w:val="00641AB7"/>
    <w:rsid w:val="0064246E"/>
    <w:rsid w:val="006631B2"/>
    <w:rsid w:val="00670447"/>
    <w:rsid w:val="00682BCD"/>
    <w:rsid w:val="00685439"/>
    <w:rsid w:val="0068716A"/>
    <w:rsid w:val="006873A0"/>
    <w:rsid w:val="006956DD"/>
    <w:rsid w:val="006B7C0B"/>
    <w:rsid w:val="006C31A1"/>
    <w:rsid w:val="006C744B"/>
    <w:rsid w:val="006F2801"/>
    <w:rsid w:val="006F3293"/>
    <w:rsid w:val="007021C0"/>
    <w:rsid w:val="00710959"/>
    <w:rsid w:val="00713AB4"/>
    <w:rsid w:val="00726723"/>
    <w:rsid w:val="00743ADE"/>
    <w:rsid w:val="007477E1"/>
    <w:rsid w:val="00754260"/>
    <w:rsid w:val="007577E8"/>
    <w:rsid w:val="00762D73"/>
    <w:rsid w:val="00767E2E"/>
    <w:rsid w:val="00774E21"/>
    <w:rsid w:val="0077608A"/>
    <w:rsid w:val="007A2F5F"/>
    <w:rsid w:val="007A43A1"/>
    <w:rsid w:val="007A5612"/>
    <w:rsid w:val="007B13A2"/>
    <w:rsid w:val="007C6715"/>
    <w:rsid w:val="007C6EAC"/>
    <w:rsid w:val="007C7854"/>
    <w:rsid w:val="007D1500"/>
    <w:rsid w:val="007D6568"/>
    <w:rsid w:val="007E1A8A"/>
    <w:rsid w:val="007E47C4"/>
    <w:rsid w:val="007E6F07"/>
    <w:rsid w:val="00800C3D"/>
    <w:rsid w:val="00807341"/>
    <w:rsid w:val="0083070C"/>
    <w:rsid w:val="00831DCF"/>
    <w:rsid w:val="00836DD2"/>
    <w:rsid w:val="00837637"/>
    <w:rsid w:val="00844BE3"/>
    <w:rsid w:val="00854C0D"/>
    <w:rsid w:val="00861807"/>
    <w:rsid w:val="0086570E"/>
    <w:rsid w:val="008665B7"/>
    <w:rsid w:val="0087320E"/>
    <w:rsid w:val="00887ACF"/>
    <w:rsid w:val="00897978"/>
    <w:rsid w:val="008A263D"/>
    <w:rsid w:val="008A2CD3"/>
    <w:rsid w:val="008A534C"/>
    <w:rsid w:val="008B03C9"/>
    <w:rsid w:val="008B7119"/>
    <w:rsid w:val="008C5764"/>
    <w:rsid w:val="008D0370"/>
    <w:rsid w:val="008E784B"/>
    <w:rsid w:val="0090517A"/>
    <w:rsid w:val="009104C2"/>
    <w:rsid w:val="009163D0"/>
    <w:rsid w:val="00926FE4"/>
    <w:rsid w:val="00931E92"/>
    <w:rsid w:val="0096079C"/>
    <w:rsid w:val="00961CD5"/>
    <w:rsid w:val="009652BF"/>
    <w:rsid w:val="00967157"/>
    <w:rsid w:val="00977A08"/>
    <w:rsid w:val="009942AA"/>
    <w:rsid w:val="009958D5"/>
    <w:rsid w:val="009963C1"/>
    <w:rsid w:val="009A0543"/>
    <w:rsid w:val="009A4A5E"/>
    <w:rsid w:val="009B5664"/>
    <w:rsid w:val="009E399C"/>
    <w:rsid w:val="009F1356"/>
    <w:rsid w:val="009F4765"/>
    <w:rsid w:val="009F6965"/>
    <w:rsid w:val="00A075F3"/>
    <w:rsid w:val="00A368CA"/>
    <w:rsid w:val="00A44457"/>
    <w:rsid w:val="00A454EC"/>
    <w:rsid w:val="00A526E1"/>
    <w:rsid w:val="00A54692"/>
    <w:rsid w:val="00A5676C"/>
    <w:rsid w:val="00A73A95"/>
    <w:rsid w:val="00A819EC"/>
    <w:rsid w:val="00A85F71"/>
    <w:rsid w:val="00A975F4"/>
    <w:rsid w:val="00AB6A4B"/>
    <w:rsid w:val="00AB76F5"/>
    <w:rsid w:val="00AF75B5"/>
    <w:rsid w:val="00B03FFB"/>
    <w:rsid w:val="00B069E0"/>
    <w:rsid w:val="00B10280"/>
    <w:rsid w:val="00B13DFB"/>
    <w:rsid w:val="00B2150A"/>
    <w:rsid w:val="00B25BB6"/>
    <w:rsid w:val="00B34860"/>
    <w:rsid w:val="00B3792F"/>
    <w:rsid w:val="00B37CE1"/>
    <w:rsid w:val="00B41FB3"/>
    <w:rsid w:val="00B66222"/>
    <w:rsid w:val="00B843F3"/>
    <w:rsid w:val="00BA7F51"/>
    <w:rsid w:val="00BB302A"/>
    <w:rsid w:val="00BB691C"/>
    <w:rsid w:val="00BC3751"/>
    <w:rsid w:val="00BE20E6"/>
    <w:rsid w:val="00BE2217"/>
    <w:rsid w:val="00BF40D4"/>
    <w:rsid w:val="00BF7D6A"/>
    <w:rsid w:val="00C1638D"/>
    <w:rsid w:val="00C168EA"/>
    <w:rsid w:val="00C204B9"/>
    <w:rsid w:val="00C21B3F"/>
    <w:rsid w:val="00C2489A"/>
    <w:rsid w:val="00C454E8"/>
    <w:rsid w:val="00C52488"/>
    <w:rsid w:val="00C52CFC"/>
    <w:rsid w:val="00C66279"/>
    <w:rsid w:val="00C66B81"/>
    <w:rsid w:val="00C71FE3"/>
    <w:rsid w:val="00C87FBC"/>
    <w:rsid w:val="00C92A59"/>
    <w:rsid w:val="00CA17A7"/>
    <w:rsid w:val="00CA645A"/>
    <w:rsid w:val="00CB7456"/>
    <w:rsid w:val="00CC27C0"/>
    <w:rsid w:val="00CE32AE"/>
    <w:rsid w:val="00CE33B0"/>
    <w:rsid w:val="00CE4A47"/>
    <w:rsid w:val="00CE4DDC"/>
    <w:rsid w:val="00CE5F02"/>
    <w:rsid w:val="00CF128A"/>
    <w:rsid w:val="00D06FE7"/>
    <w:rsid w:val="00D07775"/>
    <w:rsid w:val="00D125A3"/>
    <w:rsid w:val="00D12B18"/>
    <w:rsid w:val="00D16BD8"/>
    <w:rsid w:val="00D22380"/>
    <w:rsid w:val="00D22F05"/>
    <w:rsid w:val="00D310FB"/>
    <w:rsid w:val="00D34F6D"/>
    <w:rsid w:val="00D402BF"/>
    <w:rsid w:val="00D43976"/>
    <w:rsid w:val="00D464D3"/>
    <w:rsid w:val="00D54F3B"/>
    <w:rsid w:val="00D733D2"/>
    <w:rsid w:val="00D81424"/>
    <w:rsid w:val="00D90281"/>
    <w:rsid w:val="00D912BE"/>
    <w:rsid w:val="00D94AFA"/>
    <w:rsid w:val="00D95189"/>
    <w:rsid w:val="00D96869"/>
    <w:rsid w:val="00D97ABB"/>
    <w:rsid w:val="00DA0FEB"/>
    <w:rsid w:val="00DA3222"/>
    <w:rsid w:val="00DA7AD1"/>
    <w:rsid w:val="00DC3963"/>
    <w:rsid w:val="00DD2DB7"/>
    <w:rsid w:val="00DD3980"/>
    <w:rsid w:val="00DD73A5"/>
    <w:rsid w:val="00DE1733"/>
    <w:rsid w:val="00DE51D8"/>
    <w:rsid w:val="00DE65AA"/>
    <w:rsid w:val="00DE7010"/>
    <w:rsid w:val="00E02DBD"/>
    <w:rsid w:val="00E152CD"/>
    <w:rsid w:val="00E16942"/>
    <w:rsid w:val="00E25926"/>
    <w:rsid w:val="00E25A63"/>
    <w:rsid w:val="00E31CCE"/>
    <w:rsid w:val="00E717A1"/>
    <w:rsid w:val="00E8031F"/>
    <w:rsid w:val="00E826E0"/>
    <w:rsid w:val="00E82AE2"/>
    <w:rsid w:val="00E8691B"/>
    <w:rsid w:val="00E94C06"/>
    <w:rsid w:val="00EB0BCE"/>
    <w:rsid w:val="00EC160F"/>
    <w:rsid w:val="00EE2FD6"/>
    <w:rsid w:val="00F235C1"/>
    <w:rsid w:val="00F31BC9"/>
    <w:rsid w:val="00F43CB1"/>
    <w:rsid w:val="00F44E82"/>
    <w:rsid w:val="00F5332C"/>
    <w:rsid w:val="00F56748"/>
    <w:rsid w:val="00F718E5"/>
    <w:rsid w:val="00F85D0E"/>
    <w:rsid w:val="00FA5690"/>
    <w:rsid w:val="00FB7484"/>
    <w:rsid w:val="00FC4EC6"/>
    <w:rsid w:val="00FE459E"/>
    <w:rsid w:val="00FE5BA2"/>
    <w:rsid w:val="00FF3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49124"/>
  <w15:chartTrackingRefBased/>
  <w15:docId w15:val="{837F80C0-2539-4517-820B-8F116C4F4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B2B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B2B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B2B0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B2B0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B2B0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B2B0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B2B0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B2B0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B2B0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2B0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B2B0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B2B0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B2B0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B2B0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B2B0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B2B01"/>
    <w:rPr>
      <w:rFonts w:eastAsiaTheme="majorEastAsia" w:cstheme="majorBidi"/>
      <w:color w:val="595959" w:themeColor="text1" w:themeTint="A6"/>
    </w:rPr>
  </w:style>
  <w:style w:type="character" w:customStyle="1" w:styleId="80">
    <w:name w:val="Заголовок 8 Знак"/>
    <w:basedOn w:val="a0"/>
    <w:link w:val="8"/>
    <w:uiPriority w:val="9"/>
    <w:semiHidden/>
    <w:rsid w:val="002B2B0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B2B01"/>
    <w:rPr>
      <w:rFonts w:eastAsiaTheme="majorEastAsia" w:cstheme="majorBidi"/>
      <w:color w:val="272727" w:themeColor="text1" w:themeTint="D8"/>
    </w:rPr>
  </w:style>
  <w:style w:type="paragraph" w:styleId="a3">
    <w:name w:val="Title"/>
    <w:basedOn w:val="a"/>
    <w:next w:val="a"/>
    <w:link w:val="a4"/>
    <w:uiPriority w:val="10"/>
    <w:qFormat/>
    <w:rsid w:val="002B2B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B2B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2B0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B2B0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B2B01"/>
    <w:pPr>
      <w:spacing w:before="160"/>
      <w:jc w:val="center"/>
    </w:pPr>
    <w:rPr>
      <w:i/>
      <w:iCs/>
      <w:color w:val="404040" w:themeColor="text1" w:themeTint="BF"/>
    </w:rPr>
  </w:style>
  <w:style w:type="character" w:customStyle="1" w:styleId="22">
    <w:name w:val="Цитата 2 Знак"/>
    <w:basedOn w:val="a0"/>
    <w:link w:val="21"/>
    <w:uiPriority w:val="29"/>
    <w:rsid w:val="002B2B01"/>
    <w:rPr>
      <w:i/>
      <w:iCs/>
      <w:color w:val="404040" w:themeColor="text1" w:themeTint="BF"/>
    </w:rPr>
  </w:style>
  <w:style w:type="paragraph" w:styleId="a7">
    <w:name w:val="List Paragraph"/>
    <w:basedOn w:val="a"/>
    <w:uiPriority w:val="34"/>
    <w:qFormat/>
    <w:rsid w:val="002B2B01"/>
    <w:pPr>
      <w:ind w:left="720"/>
      <w:contextualSpacing/>
    </w:pPr>
  </w:style>
  <w:style w:type="character" w:styleId="a8">
    <w:name w:val="Intense Emphasis"/>
    <w:basedOn w:val="a0"/>
    <w:uiPriority w:val="21"/>
    <w:qFormat/>
    <w:rsid w:val="002B2B01"/>
    <w:rPr>
      <w:i/>
      <w:iCs/>
      <w:color w:val="0F4761" w:themeColor="accent1" w:themeShade="BF"/>
    </w:rPr>
  </w:style>
  <w:style w:type="paragraph" w:styleId="a9">
    <w:name w:val="Intense Quote"/>
    <w:basedOn w:val="a"/>
    <w:next w:val="a"/>
    <w:link w:val="aa"/>
    <w:uiPriority w:val="30"/>
    <w:qFormat/>
    <w:rsid w:val="002B2B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B2B01"/>
    <w:rPr>
      <w:i/>
      <w:iCs/>
      <w:color w:val="0F4761" w:themeColor="accent1" w:themeShade="BF"/>
    </w:rPr>
  </w:style>
  <w:style w:type="character" w:styleId="ab">
    <w:name w:val="Intense Reference"/>
    <w:basedOn w:val="a0"/>
    <w:uiPriority w:val="32"/>
    <w:qFormat/>
    <w:rsid w:val="002B2B01"/>
    <w:rPr>
      <w:b/>
      <w:bCs/>
      <w:smallCaps/>
      <w:color w:val="0F4761" w:themeColor="accent1" w:themeShade="BF"/>
      <w:spacing w:val="5"/>
    </w:rPr>
  </w:style>
  <w:style w:type="table" w:styleId="ac">
    <w:name w:val="Table Grid"/>
    <w:basedOn w:val="a1"/>
    <w:uiPriority w:val="39"/>
    <w:rsid w:val="00B03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D912BE"/>
    <w:pPr>
      <w:tabs>
        <w:tab w:val="center" w:pos="4513"/>
        <w:tab w:val="right" w:pos="9026"/>
      </w:tabs>
      <w:spacing w:after="0" w:line="240" w:lineRule="auto"/>
    </w:pPr>
  </w:style>
  <w:style w:type="character" w:customStyle="1" w:styleId="ae">
    <w:name w:val="Верхний колонтитул Знак"/>
    <w:basedOn w:val="a0"/>
    <w:link w:val="ad"/>
    <w:uiPriority w:val="99"/>
    <w:rsid w:val="00D912BE"/>
  </w:style>
  <w:style w:type="paragraph" w:styleId="af">
    <w:name w:val="footer"/>
    <w:basedOn w:val="a"/>
    <w:link w:val="af0"/>
    <w:uiPriority w:val="99"/>
    <w:unhideWhenUsed/>
    <w:rsid w:val="00D912BE"/>
    <w:pPr>
      <w:tabs>
        <w:tab w:val="center" w:pos="4513"/>
        <w:tab w:val="right" w:pos="9026"/>
      </w:tabs>
      <w:spacing w:after="0" w:line="240" w:lineRule="auto"/>
    </w:pPr>
  </w:style>
  <w:style w:type="character" w:customStyle="1" w:styleId="af0">
    <w:name w:val="Нижний колонтитул Знак"/>
    <w:basedOn w:val="a0"/>
    <w:link w:val="af"/>
    <w:uiPriority w:val="99"/>
    <w:rsid w:val="00D912BE"/>
  </w:style>
  <w:style w:type="character" w:customStyle="1" w:styleId="fulltext">
    <w:name w:val="fulltext"/>
    <w:basedOn w:val="a0"/>
    <w:rsid w:val="00A819EC"/>
  </w:style>
  <w:style w:type="character" w:customStyle="1" w:styleId="textcolumn">
    <w:name w:val="textcolumn"/>
    <w:basedOn w:val="a0"/>
    <w:rsid w:val="00A819EC"/>
  </w:style>
  <w:style w:type="character" w:customStyle="1" w:styleId="column">
    <w:name w:val="column"/>
    <w:basedOn w:val="a0"/>
    <w:rsid w:val="00063906"/>
  </w:style>
  <w:style w:type="character" w:customStyle="1" w:styleId="s29100277">
    <w:name w:val="s29100277"/>
    <w:basedOn w:val="a0"/>
    <w:rsid w:val="00C16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115154">
      <w:bodyDiv w:val="1"/>
      <w:marLeft w:val="0"/>
      <w:marRight w:val="0"/>
      <w:marTop w:val="0"/>
      <w:marBottom w:val="0"/>
      <w:divBdr>
        <w:top w:val="none" w:sz="0" w:space="0" w:color="auto"/>
        <w:left w:val="none" w:sz="0" w:space="0" w:color="auto"/>
        <w:bottom w:val="none" w:sz="0" w:space="0" w:color="auto"/>
        <w:right w:val="none" w:sz="0" w:space="0" w:color="auto"/>
      </w:divBdr>
    </w:div>
    <w:div w:id="721565804">
      <w:bodyDiv w:val="1"/>
      <w:marLeft w:val="0"/>
      <w:marRight w:val="0"/>
      <w:marTop w:val="0"/>
      <w:marBottom w:val="0"/>
      <w:divBdr>
        <w:top w:val="none" w:sz="0" w:space="0" w:color="auto"/>
        <w:left w:val="none" w:sz="0" w:space="0" w:color="auto"/>
        <w:bottom w:val="none" w:sz="0" w:space="0" w:color="auto"/>
        <w:right w:val="none" w:sz="0" w:space="0" w:color="auto"/>
      </w:divBdr>
      <w:divsChild>
        <w:div w:id="1642344793">
          <w:marLeft w:val="0"/>
          <w:marRight w:val="0"/>
          <w:marTop w:val="0"/>
          <w:marBottom w:val="0"/>
          <w:divBdr>
            <w:top w:val="none" w:sz="0" w:space="0" w:color="auto"/>
            <w:left w:val="none" w:sz="0" w:space="0" w:color="auto"/>
            <w:bottom w:val="none" w:sz="0" w:space="0" w:color="auto"/>
            <w:right w:val="none" w:sz="0" w:space="0" w:color="auto"/>
          </w:divBdr>
          <w:divsChild>
            <w:div w:id="65872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513670">
      <w:bodyDiv w:val="1"/>
      <w:marLeft w:val="0"/>
      <w:marRight w:val="0"/>
      <w:marTop w:val="0"/>
      <w:marBottom w:val="0"/>
      <w:divBdr>
        <w:top w:val="none" w:sz="0" w:space="0" w:color="auto"/>
        <w:left w:val="none" w:sz="0" w:space="0" w:color="auto"/>
        <w:bottom w:val="none" w:sz="0" w:space="0" w:color="auto"/>
        <w:right w:val="none" w:sz="0" w:space="0" w:color="auto"/>
      </w:divBdr>
    </w:div>
    <w:div w:id="856819028">
      <w:bodyDiv w:val="1"/>
      <w:marLeft w:val="0"/>
      <w:marRight w:val="0"/>
      <w:marTop w:val="0"/>
      <w:marBottom w:val="0"/>
      <w:divBdr>
        <w:top w:val="none" w:sz="0" w:space="0" w:color="auto"/>
        <w:left w:val="none" w:sz="0" w:space="0" w:color="auto"/>
        <w:bottom w:val="none" w:sz="0" w:space="0" w:color="auto"/>
        <w:right w:val="none" w:sz="0" w:space="0" w:color="auto"/>
      </w:divBdr>
    </w:div>
    <w:div w:id="1457330645">
      <w:bodyDiv w:val="1"/>
      <w:marLeft w:val="0"/>
      <w:marRight w:val="0"/>
      <w:marTop w:val="0"/>
      <w:marBottom w:val="0"/>
      <w:divBdr>
        <w:top w:val="none" w:sz="0" w:space="0" w:color="auto"/>
        <w:left w:val="none" w:sz="0" w:space="0" w:color="auto"/>
        <w:bottom w:val="none" w:sz="0" w:space="0" w:color="auto"/>
        <w:right w:val="none" w:sz="0" w:space="0" w:color="auto"/>
      </w:divBdr>
    </w:div>
    <w:div w:id="1688601900">
      <w:bodyDiv w:val="1"/>
      <w:marLeft w:val="0"/>
      <w:marRight w:val="0"/>
      <w:marTop w:val="0"/>
      <w:marBottom w:val="0"/>
      <w:divBdr>
        <w:top w:val="none" w:sz="0" w:space="0" w:color="auto"/>
        <w:left w:val="none" w:sz="0" w:space="0" w:color="auto"/>
        <w:bottom w:val="none" w:sz="0" w:space="0" w:color="auto"/>
        <w:right w:val="none" w:sz="0" w:space="0" w:color="auto"/>
      </w:divBdr>
      <w:divsChild>
        <w:div w:id="1083916265">
          <w:marLeft w:val="0"/>
          <w:marRight w:val="0"/>
          <w:marTop w:val="0"/>
          <w:marBottom w:val="0"/>
          <w:divBdr>
            <w:top w:val="none" w:sz="0" w:space="0" w:color="auto"/>
            <w:left w:val="none" w:sz="0" w:space="0" w:color="auto"/>
            <w:bottom w:val="none" w:sz="0" w:space="0" w:color="auto"/>
            <w:right w:val="none" w:sz="0" w:space="0" w:color="auto"/>
          </w:divBdr>
          <w:divsChild>
            <w:div w:id="178279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41411">
      <w:bodyDiv w:val="1"/>
      <w:marLeft w:val="0"/>
      <w:marRight w:val="0"/>
      <w:marTop w:val="0"/>
      <w:marBottom w:val="0"/>
      <w:divBdr>
        <w:top w:val="none" w:sz="0" w:space="0" w:color="auto"/>
        <w:left w:val="none" w:sz="0" w:space="0" w:color="auto"/>
        <w:bottom w:val="none" w:sz="0" w:space="0" w:color="auto"/>
        <w:right w:val="none" w:sz="0" w:space="0" w:color="auto"/>
      </w:divBdr>
    </w:div>
    <w:div w:id="1868057524">
      <w:bodyDiv w:val="1"/>
      <w:marLeft w:val="0"/>
      <w:marRight w:val="0"/>
      <w:marTop w:val="0"/>
      <w:marBottom w:val="0"/>
      <w:divBdr>
        <w:top w:val="none" w:sz="0" w:space="0" w:color="auto"/>
        <w:left w:val="none" w:sz="0" w:space="0" w:color="auto"/>
        <w:bottom w:val="none" w:sz="0" w:space="0" w:color="auto"/>
        <w:right w:val="none" w:sz="0" w:space="0" w:color="auto"/>
      </w:divBdr>
    </w:div>
    <w:div w:id="204309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7730</Words>
  <Characters>44063</Characters>
  <Application>Microsoft Office Word</Application>
  <DocSecurity>0</DocSecurity>
  <Lines>367</Lines>
  <Paragraphs>103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Țurcan</dc:creator>
  <cp:keywords/>
  <dc:description/>
  <cp:lastModifiedBy>User</cp:lastModifiedBy>
  <cp:revision>3</cp:revision>
  <dcterms:created xsi:type="dcterms:W3CDTF">2024-12-06T23:34:00Z</dcterms:created>
  <dcterms:modified xsi:type="dcterms:W3CDTF">2024-12-06T23:35:00Z</dcterms:modified>
</cp:coreProperties>
</file>