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bookmarkStart w:id="0" w:name="_GoBack"/>
      <w:bookmarkEnd w:id="0"/>
      <w:r w:rsidRPr="00FE6E19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737EB4DB" wp14:editId="5EED3203">
            <wp:extent cx="1548208" cy="1371600"/>
            <wp:effectExtent l="0" t="0" r="0" b="0"/>
            <wp:docPr id="6" name="Picture 5" descr="A logo with a globe and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F12701-B683-ED0D-DD34-FD7937BA76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logo with a globe and text&#10;&#10;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F12701-B683-ED0D-DD34-FD7937BA76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1964" cy="137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6E19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4581BD67" wp14:editId="1D4BE718">
            <wp:extent cx="1453184" cy="1416050"/>
            <wp:effectExtent l="0" t="0" r="0" b="0"/>
            <wp:docPr id="10" name="Picture 9" descr="A blue circle with a white figure holding scales and a boo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5D4FD40-4623-2A78-21A6-2AFC277FCF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blue circle with a white figure holding scales and a book&#10;&#10;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5D4FD40-4623-2A78-21A6-2AFC277FCF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5811" cy="141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6E19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7816100D" wp14:editId="0172CC12">
            <wp:extent cx="2222500" cy="968468"/>
            <wp:effectExtent l="0" t="0" r="6350" b="3175"/>
            <wp:docPr id="8" name="Picture 7" descr="A green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FF9FB108-F8B0-4AD0-622F-CFEBCF8FB8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green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FF9FB108-F8B0-4AD0-622F-CFEBCF8FB8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5256" cy="97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PRINCIPIILE APLICĂRII CONVENȚIEI EUROPENE A DREPTURILOR OMULUI</w:t>
      </w: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FE6E19" w:rsidRP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val="en-US" w:eastAsia="ru-RU"/>
        </w:rPr>
      </w:pPr>
      <w:r w:rsidRPr="00FE6E19">
        <w:rPr>
          <w:rFonts w:ascii="Times New Roman" w:eastAsia="Times New Roman" w:hAnsi="Times New Roman" w:cs="Times New Roman"/>
          <w:bCs/>
          <w:lang w:val="en-US" w:eastAsia="ru-RU"/>
        </w:rPr>
        <w:t>«</w:t>
      </w:r>
      <w:r w:rsidRPr="00FE6E19">
        <w:rPr>
          <w:rFonts w:ascii="Times New Roman" w:hAnsi="Times New Roman" w:cs="Times New Roman"/>
          <w:lang w:val="en-US"/>
        </w:rPr>
        <w:t xml:space="preserve">ARTICOLUL 14 </w:t>
      </w:r>
      <w:proofErr w:type="spellStart"/>
      <w:r w:rsidRPr="00FE6E19">
        <w:rPr>
          <w:rFonts w:ascii="Times New Roman" w:hAnsi="Times New Roman" w:cs="Times New Roman"/>
          <w:lang w:val="en-US"/>
        </w:rPr>
        <w:t>Interzicerea</w:t>
      </w:r>
      <w:proofErr w:type="spellEnd"/>
      <w:r w:rsidRPr="00FE6E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19">
        <w:rPr>
          <w:rFonts w:ascii="Times New Roman" w:hAnsi="Times New Roman" w:cs="Times New Roman"/>
          <w:lang w:val="en-US"/>
        </w:rPr>
        <w:t>discriminării</w:t>
      </w:r>
      <w:proofErr w:type="spellEnd"/>
      <w:r w:rsidRPr="00FE6E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19">
        <w:rPr>
          <w:rFonts w:ascii="Times New Roman" w:hAnsi="Times New Roman" w:cs="Times New Roman"/>
          <w:lang w:val="en-US"/>
        </w:rPr>
        <w:t>Exercitarea</w:t>
      </w:r>
      <w:proofErr w:type="spellEnd"/>
      <w:r w:rsidRPr="00FE6E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19">
        <w:rPr>
          <w:rFonts w:ascii="Times New Roman" w:hAnsi="Times New Roman" w:cs="Times New Roman"/>
          <w:lang w:val="en-US"/>
        </w:rPr>
        <w:t>drepturilor</w:t>
      </w:r>
      <w:proofErr w:type="spellEnd"/>
      <w:r w:rsidRPr="00FE6E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19">
        <w:rPr>
          <w:rFonts w:ascii="Times New Roman" w:hAnsi="Times New Roman" w:cs="Times New Roman"/>
          <w:lang w:val="en-US"/>
        </w:rPr>
        <w:t>şi</w:t>
      </w:r>
      <w:proofErr w:type="spellEnd"/>
      <w:r w:rsidRPr="00FE6E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19">
        <w:rPr>
          <w:rFonts w:ascii="Times New Roman" w:hAnsi="Times New Roman" w:cs="Times New Roman"/>
          <w:lang w:val="en-US"/>
        </w:rPr>
        <w:t>libertăţilor</w:t>
      </w:r>
      <w:proofErr w:type="spellEnd"/>
      <w:r w:rsidRPr="00FE6E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E19">
        <w:rPr>
          <w:rFonts w:ascii="Times New Roman" w:hAnsi="Times New Roman" w:cs="Times New Roman"/>
          <w:lang w:val="en-US"/>
        </w:rPr>
        <w:t>recunoscut</w:t>
      </w:r>
      <w:proofErr w:type="spellEnd"/>
      <w:r w:rsidRPr="00FE6E19">
        <w:rPr>
          <w:rFonts w:ascii="Times New Roman" w:hAnsi="Times New Roman" w:cs="Times New Roman"/>
          <w:lang w:val="en-US"/>
        </w:rPr>
        <w:t>»</w:t>
      </w:r>
    </w:p>
    <w:p w:rsidR="00FE6E19" w:rsidRP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FE6E19" w:rsidRP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Coordonator</w:t>
      </w:r>
      <w:proofErr w:type="spellEnd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stiintific</w:t>
      </w:r>
      <w:proofErr w:type="spellEnd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proofErr w:type="spellStart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dna</w:t>
      </w:r>
      <w:proofErr w:type="spellEnd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 xml:space="preserve">Diana </w:t>
      </w:r>
      <w:proofErr w:type="spellStart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Sârcu</w:t>
      </w:r>
      <w:proofErr w:type="spellEnd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 xml:space="preserve">, </w:t>
      </w:r>
      <w:proofErr w:type="spellStart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Conferenţiar</w:t>
      </w:r>
      <w:proofErr w:type="spellEnd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universitar</w:t>
      </w:r>
      <w:proofErr w:type="spellEnd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 xml:space="preserve">, doctor </w:t>
      </w:r>
      <w:proofErr w:type="spellStart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habilitat</w:t>
      </w:r>
      <w:proofErr w:type="spellEnd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în</w:t>
      </w:r>
      <w:proofErr w:type="spellEnd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drept</w:t>
      </w:r>
      <w:proofErr w:type="spellEnd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internațional</w:t>
      </w:r>
      <w:proofErr w:type="spellEnd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.</w:t>
      </w:r>
    </w:p>
    <w:p w:rsidR="00FE6E19" w:rsidRDefault="00FE6E19" w:rsidP="00FE6E1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</w:pPr>
    </w:p>
    <w:p w:rsidR="00FE6E19" w:rsidRDefault="00FE6E19" w:rsidP="00FE6E1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</w:pP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</w:pP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</w:pPr>
    </w:p>
    <w:p w:rsidR="00FE6E19" w:rsidRPr="00FE6E19" w:rsidRDefault="00FE6E19" w:rsidP="00FE6E1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Autor</w:t>
      </w:r>
      <w:proofErr w:type="spellEnd"/>
      <w:proofErr w:type="gramStart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>:</w:t>
      </w:r>
      <w:proofErr w:type="spellStart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Lungu</w:t>
      </w:r>
      <w:proofErr w:type="spellEnd"/>
      <w:proofErr w:type="gramEnd"/>
      <w:r w:rsidRPr="00FE6E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Svetlana</w:t>
      </w: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FE6E19" w:rsidRP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>Articolul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14 din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Convenția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Europeană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a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Drepturilor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Omului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: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Interzicerea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discriminării</w:t>
      </w:r>
      <w:proofErr w:type="spellEnd"/>
    </w:p>
    <w:p w:rsidR="00FE6E19" w:rsidRPr="00FE6E19" w:rsidRDefault="00FE6E19" w:rsidP="00FE6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E6E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Textul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articolului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14:</w:t>
      </w:r>
    </w:p>
    <w:p w:rsidR="00FE6E19" w:rsidRPr="00FE6E19" w:rsidRDefault="00FE6E19" w:rsidP="00FE6E1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Exercitarea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drepturilor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libertăților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recunoscute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prezentul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protocol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trebuie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fie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asigurată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fără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discriminare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motive de sex,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rasă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culoare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limbă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religie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opinie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politică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altă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opinie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apartenență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o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minoritate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națională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avere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naștere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alt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statut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."</w:t>
      </w:r>
    </w:p>
    <w:p w:rsidR="00FE6E19" w:rsidRPr="00FE6E19" w:rsidRDefault="00FE6E19" w:rsidP="00FE6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Articolul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14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protejează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drepturile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libertățile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prevăzute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Convenție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împotriva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discriminării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diverse motive,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oferind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astfel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general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protecția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egalității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nediscriminării</w:t>
      </w:r>
      <w:proofErr w:type="spellEnd"/>
      <w:r w:rsidRPr="00FE6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E6E19" w:rsidRPr="00FE6E19" w:rsidRDefault="00FE6E19" w:rsidP="00FE6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Tabel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cu 20 de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soluții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/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decizii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importante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ale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Curții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Europene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a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Drepturilor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Omului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(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CtEDO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) legate de </w:t>
      </w:r>
      <w:proofErr w:type="spellStart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Articolul</w:t>
      </w:r>
      <w:proofErr w:type="spellEnd"/>
      <w:r w:rsidRPr="00FE6E1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14:</w:t>
      </w:r>
    </w:p>
    <w:p w:rsidR="00FE6E19" w:rsidRPr="00FE6E19" w:rsidRDefault="00FE6E19">
      <w:pPr>
        <w:rPr>
          <w:lang w:val="en-US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2388"/>
        <w:gridCol w:w="1616"/>
        <w:gridCol w:w="1584"/>
        <w:gridCol w:w="1512"/>
        <w:gridCol w:w="1909"/>
      </w:tblGrid>
      <w:tr w:rsidR="00931482" w:rsidTr="00FE6E19">
        <w:trPr>
          <w:trHeight w:val="416"/>
        </w:trPr>
        <w:tc>
          <w:tcPr>
            <w:tcW w:w="602" w:type="dxa"/>
          </w:tcPr>
          <w:p w:rsidR="00931482" w:rsidRPr="00E639D2" w:rsidRDefault="00931482" w:rsidP="00E639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9D2">
              <w:rPr>
                <w:rFonts w:ascii="Times New Roman" w:hAnsi="Times New Roman" w:cs="Times New Roman"/>
                <w:b/>
              </w:rPr>
              <w:t>Art</w:t>
            </w:r>
            <w:proofErr w:type="spellEnd"/>
            <w:r w:rsidRPr="00E639D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8" w:type="dxa"/>
          </w:tcPr>
          <w:p w:rsidR="00931482" w:rsidRPr="00E639D2" w:rsidRDefault="00931482" w:rsidP="00E639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9D2">
              <w:rPr>
                <w:rFonts w:ascii="Times New Roman" w:hAnsi="Times New Roman" w:cs="Times New Roman"/>
                <w:b/>
              </w:rPr>
              <w:t>Soluție</w:t>
            </w:r>
            <w:proofErr w:type="spellEnd"/>
            <w:r w:rsidRPr="00E639D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639D2">
              <w:rPr>
                <w:rFonts w:ascii="Times New Roman" w:hAnsi="Times New Roman" w:cs="Times New Roman"/>
                <w:b/>
              </w:rPr>
              <w:t>Decizie</w:t>
            </w:r>
            <w:proofErr w:type="spellEnd"/>
            <w:r w:rsidRPr="00E639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39D2">
              <w:rPr>
                <w:rFonts w:ascii="Times New Roman" w:hAnsi="Times New Roman" w:cs="Times New Roman"/>
                <w:b/>
              </w:rPr>
              <w:t>CtEDO</w:t>
            </w:r>
            <w:proofErr w:type="spellEnd"/>
          </w:p>
        </w:tc>
        <w:tc>
          <w:tcPr>
            <w:tcW w:w="1616" w:type="dxa"/>
          </w:tcPr>
          <w:p w:rsidR="00931482" w:rsidRPr="00E639D2" w:rsidRDefault="00931482" w:rsidP="00E639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9D2">
              <w:rPr>
                <w:rFonts w:ascii="Times New Roman" w:hAnsi="Times New Roman" w:cs="Times New Roman"/>
                <w:b/>
              </w:rPr>
              <w:t>Descriere</w:t>
            </w:r>
            <w:proofErr w:type="spellEnd"/>
          </w:p>
        </w:tc>
        <w:tc>
          <w:tcPr>
            <w:tcW w:w="1584" w:type="dxa"/>
          </w:tcPr>
          <w:p w:rsidR="00931482" w:rsidRPr="00E639D2" w:rsidRDefault="00931482" w:rsidP="00E639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9D2">
              <w:rPr>
                <w:rFonts w:ascii="Times New Roman" w:hAnsi="Times New Roman" w:cs="Times New Roman"/>
                <w:b/>
              </w:rPr>
              <w:t>Impact</w:t>
            </w:r>
            <w:proofErr w:type="spellEnd"/>
          </w:p>
        </w:tc>
        <w:tc>
          <w:tcPr>
            <w:tcW w:w="1512" w:type="dxa"/>
          </w:tcPr>
          <w:p w:rsidR="00931482" w:rsidRPr="00E639D2" w:rsidRDefault="00931482" w:rsidP="00E639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9D2">
              <w:rPr>
                <w:rFonts w:ascii="Times New Roman" w:hAnsi="Times New Roman" w:cs="Times New Roman"/>
                <w:b/>
              </w:rPr>
              <w:t>Criterii</w:t>
            </w:r>
            <w:proofErr w:type="spellEnd"/>
          </w:p>
        </w:tc>
        <w:tc>
          <w:tcPr>
            <w:tcW w:w="1909" w:type="dxa"/>
          </w:tcPr>
          <w:p w:rsidR="00931482" w:rsidRPr="00E639D2" w:rsidRDefault="00931482" w:rsidP="00E639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9D2">
              <w:rPr>
                <w:rFonts w:ascii="Times New Roman" w:hAnsi="Times New Roman" w:cs="Times New Roman"/>
                <w:b/>
              </w:rPr>
              <w:t>Scop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D.H. and Others v. Czech Republic</w:t>
            </w:r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legată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împotriva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discriminării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rasiale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Rasa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Combaterea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segregării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egalității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Şahin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v. </w:t>
            </w: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Turkey</w:t>
            </w:r>
            <w:proofErr w:type="spellEnd"/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religioase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contextul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interzicerii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portului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hijabului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școlile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Protejarea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dreptului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libertatea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religioasă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Religie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Protejarea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dreptului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fi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discriminat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Klass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Others v. Germany</w:t>
            </w:r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legată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interceptarea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comunicațiilor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telefonice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dreptului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viața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Protejarea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dreptului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viața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prevenirea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discriminării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</w:t>
            </w:r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Nachova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Others v. Bulgaria</w:t>
            </w:r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sex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tratamentul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aplicat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femeilor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deținuți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Combaterea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discriminării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sex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închisori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nediscriminatoriu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deținuții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Gäfgen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v. </w:t>
            </w: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Germany</w:t>
            </w:r>
            <w:proofErr w:type="spellEnd"/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procedurilor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tratamentele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aplicate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suspect.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Protejarea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drepturilor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procesuale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Protejarea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drepturilor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acuzate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Goodwin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v. </w:t>
            </w: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United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Kingdom</w:t>
            </w:r>
            <w:proofErr w:type="spellEnd"/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sex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referitoare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recunoașterea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identității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gen a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Protejarea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drepturilor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transsexual din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perspectiva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identității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gen</w:t>
            </w:r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Recunoașterea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drepturilor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privește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statutul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gen</w:t>
            </w:r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Engel and Others v. Netherlands</w:t>
            </w:r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asupra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grupurilor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marginalizate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Protejarea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drepturilor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Combaterea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discriminării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388" w:type="dxa"/>
          </w:tcPr>
          <w:p w:rsidR="00E639D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Larkos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v. </w:t>
            </w: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Cyprus</w:t>
            </w:r>
            <w:proofErr w:type="spellEnd"/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etnice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contextul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împotriva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discriminării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etnice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legale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Etnie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egalității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etnice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fața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instanței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M.C. v. </w:t>
            </w: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Bulgaria</w:t>
            </w:r>
            <w:proofErr w:type="spellEnd"/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sex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tratamentul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aplicat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victimei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agresiuni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sexuale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Combaterea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discriminării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sex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penale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echitabil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victimelor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violență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sexuală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López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Ostra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v. </w:t>
            </w: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Spain</w:t>
            </w:r>
            <w:proofErr w:type="spellEnd"/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statut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protecția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împotriva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poluării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efectelor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sale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asupra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sănătății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Protejarea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sănătății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mediului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Statut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Protejarea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dreptului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un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mediu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sănătos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cetățenii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S.A.S. v. France</w:t>
            </w:r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religioase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legată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interzicerea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purtării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veșmânt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religios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Protejarea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libertății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Religie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dreptului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purta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simboluri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religioase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fi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discriminat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V.B. v. </w:t>
            </w: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Hungary</w:t>
            </w:r>
            <w:proofErr w:type="spellEnd"/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apartenență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o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minoritate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drepturi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Combaterea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discriminării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contextul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minorităților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naționale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Minorități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egalității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fața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minoritățile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naționale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S.C. v. </w:t>
            </w: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Romania</w:t>
            </w:r>
            <w:proofErr w:type="spellEnd"/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diferențiat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procedurilor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Combaterea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discriminării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rasiale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instanțele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judecată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Rasă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cetățenii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Zarb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v. </w:t>
            </w: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Malta</w:t>
            </w:r>
            <w:proofErr w:type="spellEnd"/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apartenență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o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categorie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accesul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accesului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fața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autorităților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Tănase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v. </w:t>
            </w: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</w:rPr>
              <w:t>Moldova</w:t>
            </w:r>
            <w:proofErr w:type="spellEnd"/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legată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dreptul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contesta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judiciară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Protecția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dreptului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un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echitabil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</w:p>
        </w:tc>
        <w:tc>
          <w:tcPr>
            <w:tcW w:w="1512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Statut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echitabil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pentru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cetățenii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Oršuš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Others v. Croatia</w:t>
            </w:r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etnice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contextul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accesului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comunități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marginalizate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Combaterea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discriminării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etnice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</w:p>
        </w:tc>
        <w:tc>
          <w:tcPr>
            <w:tcW w:w="1512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Etnie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grupurile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etnice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Vallianatos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Others v. Greece</w:t>
            </w:r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sexuală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contextul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legislației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parteneriatele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Protejarea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drepturilor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LGBT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</w:p>
        </w:tc>
        <w:tc>
          <w:tcPr>
            <w:tcW w:w="1512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Orientare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sexuală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drepturilor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LGBT</w:t>
            </w:r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A.D. v. The Netherlands</w:t>
            </w:r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apartenență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o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minoritate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accesul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Protejarea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drepturilor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minorităților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</w:p>
        </w:tc>
        <w:tc>
          <w:tcPr>
            <w:tcW w:w="1512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Minorități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minorități</w:t>
            </w:r>
            <w:proofErr w:type="spellEnd"/>
          </w:p>
        </w:tc>
      </w:tr>
      <w:tr w:rsidR="00931482" w:rsidRPr="00E639D2" w:rsidTr="00FE6E19">
        <w:trPr>
          <w:trHeight w:val="570"/>
        </w:trPr>
        <w:tc>
          <w:tcPr>
            <w:tcW w:w="602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2388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Beizaras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Levickas</w:t>
            </w:r>
            <w:proofErr w:type="spellEnd"/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v. Lithuania</w:t>
            </w:r>
          </w:p>
        </w:tc>
        <w:tc>
          <w:tcPr>
            <w:tcW w:w="1616" w:type="dxa"/>
          </w:tcPr>
          <w:p w:rsidR="0093148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sexuală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drepturilor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93148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împotriva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discriminării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bază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orientare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sexuală</w:t>
            </w:r>
            <w:proofErr w:type="spellEnd"/>
          </w:p>
        </w:tc>
        <w:tc>
          <w:tcPr>
            <w:tcW w:w="1512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Orientare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sexuală</w:t>
            </w:r>
            <w:proofErr w:type="spellEnd"/>
          </w:p>
        </w:tc>
        <w:tc>
          <w:tcPr>
            <w:tcW w:w="1909" w:type="dxa"/>
          </w:tcPr>
          <w:p w:rsidR="0093148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Combaterea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discriminării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domeniile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vieții</w:t>
            </w:r>
            <w:proofErr w:type="spellEnd"/>
          </w:p>
        </w:tc>
      </w:tr>
      <w:tr w:rsidR="00E639D2" w:rsidRPr="00E639D2" w:rsidTr="00FE6E19">
        <w:trPr>
          <w:trHeight w:val="570"/>
        </w:trPr>
        <w:tc>
          <w:tcPr>
            <w:tcW w:w="602" w:type="dxa"/>
          </w:tcPr>
          <w:p w:rsidR="00E639D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388" w:type="dxa"/>
          </w:tcPr>
          <w:p w:rsidR="00E639D2" w:rsidRPr="00D90DFD" w:rsidRDefault="00E639D2" w:rsidP="00D90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 and Others v. Austria</w:t>
            </w:r>
          </w:p>
        </w:tc>
        <w:tc>
          <w:tcPr>
            <w:tcW w:w="1616" w:type="dxa"/>
          </w:tcPr>
          <w:p w:rsidR="00E639D2" w:rsidRPr="00D90DFD" w:rsidRDefault="00E639D2" w:rsidP="00D90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motive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accesul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grupuri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marginalizate</w:t>
            </w:r>
            <w:proofErr w:type="spellEnd"/>
            <w:r w:rsidRPr="00D90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84" w:type="dxa"/>
          </w:tcPr>
          <w:p w:rsidR="00E639D2" w:rsidRPr="001A641F" w:rsidRDefault="00D90DFD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Asigurarea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echitabil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1512" w:type="dxa"/>
          </w:tcPr>
          <w:p w:rsidR="00E639D2" w:rsidRPr="001A641F" w:rsidRDefault="001A641F" w:rsidP="00E63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</w:p>
        </w:tc>
        <w:tc>
          <w:tcPr>
            <w:tcW w:w="1909" w:type="dxa"/>
          </w:tcPr>
          <w:p w:rsidR="00E639D2" w:rsidRPr="001A641F" w:rsidRDefault="001A641F" w:rsidP="001A6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Protejarea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drepturilor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fundamentale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sănătății</w:t>
            </w:r>
            <w:proofErr w:type="spellEnd"/>
          </w:p>
        </w:tc>
      </w:tr>
      <w:tr w:rsidR="00E639D2" w:rsidTr="00E639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11" w:type="dxa"/>
            <w:gridSpan w:val="6"/>
          </w:tcPr>
          <w:p w:rsidR="00E639D2" w:rsidRDefault="00E639D2" w:rsidP="00E639D2">
            <w:pPr>
              <w:rPr>
                <w:lang w:val="en-US"/>
              </w:rPr>
            </w:pPr>
          </w:p>
        </w:tc>
      </w:tr>
    </w:tbl>
    <w:p w:rsidR="00FE6E19" w:rsidRPr="00FE6E19" w:rsidRDefault="00FE6E19" w:rsidP="00FE6E19">
      <w:pPr>
        <w:pStyle w:val="3"/>
        <w:rPr>
          <w:lang w:val="en-US"/>
        </w:rPr>
      </w:pPr>
      <w:proofErr w:type="spellStart"/>
      <w:r w:rsidRPr="00FE6E19">
        <w:rPr>
          <w:lang w:val="en-US"/>
        </w:rPr>
        <w:t>Concluzie</w:t>
      </w:r>
      <w:proofErr w:type="spellEnd"/>
      <w:r w:rsidRPr="00FE6E19">
        <w:rPr>
          <w:lang w:val="en-US"/>
        </w:rPr>
        <w:t>:</w:t>
      </w:r>
    </w:p>
    <w:p w:rsidR="00FE6E19" w:rsidRPr="00FE6E19" w:rsidRDefault="00FE6E19" w:rsidP="00FE6E19">
      <w:pPr>
        <w:pStyle w:val="a4"/>
        <w:rPr>
          <w:lang w:val="en-US"/>
        </w:rPr>
      </w:pPr>
      <w:proofErr w:type="spellStart"/>
      <w:r w:rsidRPr="00FE6E19">
        <w:rPr>
          <w:lang w:val="en-US"/>
        </w:rPr>
        <w:t>Articolul</w:t>
      </w:r>
      <w:proofErr w:type="spellEnd"/>
      <w:r w:rsidRPr="00FE6E19">
        <w:rPr>
          <w:lang w:val="en-US"/>
        </w:rPr>
        <w:t xml:space="preserve"> 14 din </w:t>
      </w:r>
      <w:proofErr w:type="spellStart"/>
      <w:r w:rsidRPr="00FE6E19">
        <w:rPr>
          <w:lang w:val="en-US"/>
        </w:rPr>
        <w:t>Convenția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Europeană</w:t>
      </w:r>
      <w:proofErr w:type="spellEnd"/>
      <w:r w:rsidRPr="00FE6E19">
        <w:rPr>
          <w:lang w:val="en-US"/>
        </w:rPr>
        <w:t xml:space="preserve"> a </w:t>
      </w:r>
      <w:proofErr w:type="spellStart"/>
      <w:r w:rsidRPr="00FE6E19">
        <w:rPr>
          <w:lang w:val="en-US"/>
        </w:rPr>
        <w:t>Drepturilor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Omului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este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esențial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pentru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protecția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egalității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și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împotriva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discriminării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în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fața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legii</w:t>
      </w:r>
      <w:proofErr w:type="spellEnd"/>
      <w:r w:rsidRPr="00FE6E19">
        <w:rPr>
          <w:lang w:val="en-US"/>
        </w:rPr>
        <w:t xml:space="preserve">. </w:t>
      </w:r>
      <w:proofErr w:type="spellStart"/>
      <w:r w:rsidRPr="00FE6E19">
        <w:rPr>
          <w:lang w:val="en-US"/>
        </w:rPr>
        <w:t>Soluțiile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și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deciziile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CtEDO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subliniază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importanța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asigurării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că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toate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persoanele</w:t>
      </w:r>
      <w:proofErr w:type="spellEnd"/>
      <w:r w:rsidRPr="00FE6E19">
        <w:rPr>
          <w:lang w:val="en-US"/>
        </w:rPr>
        <w:t xml:space="preserve">, </w:t>
      </w:r>
      <w:proofErr w:type="spellStart"/>
      <w:r w:rsidRPr="00FE6E19">
        <w:rPr>
          <w:lang w:val="en-US"/>
        </w:rPr>
        <w:t>indiferent</w:t>
      </w:r>
      <w:proofErr w:type="spellEnd"/>
      <w:r w:rsidRPr="00FE6E19">
        <w:rPr>
          <w:lang w:val="en-US"/>
        </w:rPr>
        <w:t xml:space="preserve"> de sex, </w:t>
      </w:r>
      <w:proofErr w:type="spellStart"/>
      <w:r w:rsidRPr="00FE6E19">
        <w:rPr>
          <w:lang w:val="en-US"/>
        </w:rPr>
        <w:t>rasă</w:t>
      </w:r>
      <w:proofErr w:type="spellEnd"/>
      <w:r w:rsidRPr="00FE6E19">
        <w:rPr>
          <w:lang w:val="en-US"/>
        </w:rPr>
        <w:t xml:space="preserve">, </w:t>
      </w:r>
      <w:proofErr w:type="spellStart"/>
      <w:r w:rsidRPr="00FE6E19">
        <w:rPr>
          <w:lang w:val="en-US"/>
        </w:rPr>
        <w:t>religie</w:t>
      </w:r>
      <w:proofErr w:type="spellEnd"/>
      <w:r w:rsidRPr="00FE6E19">
        <w:rPr>
          <w:lang w:val="en-US"/>
        </w:rPr>
        <w:t xml:space="preserve">, </w:t>
      </w:r>
      <w:proofErr w:type="spellStart"/>
      <w:r w:rsidRPr="00FE6E19">
        <w:rPr>
          <w:lang w:val="en-US"/>
        </w:rPr>
        <w:t>orientare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sexuală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sau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statut</w:t>
      </w:r>
      <w:proofErr w:type="spellEnd"/>
      <w:r w:rsidRPr="00FE6E19">
        <w:rPr>
          <w:lang w:val="en-US"/>
        </w:rPr>
        <w:t xml:space="preserve"> social, </w:t>
      </w:r>
      <w:proofErr w:type="spellStart"/>
      <w:r w:rsidRPr="00FE6E19">
        <w:rPr>
          <w:lang w:val="en-US"/>
        </w:rPr>
        <w:t>beneficiază</w:t>
      </w:r>
      <w:proofErr w:type="spellEnd"/>
      <w:r w:rsidRPr="00FE6E19">
        <w:rPr>
          <w:lang w:val="en-US"/>
        </w:rPr>
        <w:t xml:space="preserve"> de </w:t>
      </w:r>
      <w:proofErr w:type="spellStart"/>
      <w:r w:rsidRPr="00FE6E19">
        <w:rPr>
          <w:lang w:val="en-US"/>
        </w:rPr>
        <w:t>aceleași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drepturi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fundamentale</w:t>
      </w:r>
      <w:proofErr w:type="spellEnd"/>
      <w:r w:rsidRPr="00FE6E19">
        <w:rPr>
          <w:lang w:val="en-US"/>
        </w:rPr>
        <w:t xml:space="preserve">, </w:t>
      </w:r>
      <w:proofErr w:type="spellStart"/>
      <w:r w:rsidRPr="00FE6E19">
        <w:rPr>
          <w:lang w:val="en-US"/>
        </w:rPr>
        <w:t>iar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discriminarea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pe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orice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criteriu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este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interzisă</w:t>
      </w:r>
      <w:proofErr w:type="spellEnd"/>
      <w:r w:rsidRPr="00FE6E19">
        <w:rPr>
          <w:lang w:val="en-US"/>
        </w:rPr>
        <w:t xml:space="preserve">. </w:t>
      </w:r>
      <w:proofErr w:type="spellStart"/>
      <w:r w:rsidRPr="00FE6E19">
        <w:rPr>
          <w:lang w:val="en-US"/>
        </w:rPr>
        <w:t>Aceste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decizii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contribuie</w:t>
      </w:r>
      <w:proofErr w:type="spellEnd"/>
      <w:r w:rsidRPr="00FE6E19">
        <w:rPr>
          <w:lang w:val="en-US"/>
        </w:rPr>
        <w:t xml:space="preserve"> la </w:t>
      </w:r>
      <w:proofErr w:type="spellStart"/>
      <w:r w:rsidRPr="00FE6E19">
        <w:rPr>
          <w:lang w:val="en-US"/>
        </w:rPr>
        <w:t>consolidarea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unui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cadru</w:t>
      </w:r>
      <w:proofErr w:type="spellEnd"/>
      <w:r w:rsidRPr="00FE6E19">
        <w:rPr>
          <w:lang w:val="en-US"/>
        </w:rPr>
        <w:t xml:space="preserve"> de </w:t>
      </w:r>
      <w:proofErr w:type="spellStart"/>
      <w:r w:rsidRPr="00FE6E19">
        <w:rPr>
          <w:lang w:val="en-US"/>
        </w:rPr>
        <w:t>drepturi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fundamentale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în</w:t>
      </w:r>
      <w:proofErr w:type="spellEnd"/>
      <w:r w:rsidRPr="00FE6E19">
        <w:rPr>
          <w:lang w:val="en-US"/>
        </w:rPr>
        <w:t xml:space="preserve"> care </w:t>
      </w:r>
      <w:proofErr w:type="spellStart"/>
      <w:r w:rsidRPr="00FE6E19">
        <w:rPr>
          <w:lang w:val="en-US"/>
        </w:rPr>
        <w:t>toți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indivizii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sunt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tratați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în</w:t>
      </w:r>
      <w:proofErr w:type="spellEnd"/>
      <w:r w:rsidRPr="00FE6E19">
        <w:rPr>
          <w:lang w:val="en-US"/>
        </w:rPr>
        <w:t xml:space="preserve"> mod </w:t>
      </w:r>
      <w:proofErr w:type="spellStart"/>
      <w:r w:rsidRPr="00FE6E19">
        <w:rPr>
          <w:lang w:val="en-US"/>
        </w:rPr>
        <w:t>echitabil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și</w:t>
      </w:r>
      <w:proofErr w:type="spellEnd"/>
      <w:r w:rsidRPr="00FE6E19">
        <w:rPr>
          <w:lang w:val="en-US"/>
        </w:rPr>
        <w:t xml:space="preserve"> cu respect </w:t>
      </w:r>
      <w:proofErr w:type="spellStart"/>
      <w:r w:rsidRPr="00FE6E19">
        <w:rPr>
          <w:lang w:val="en-US"/>
        </w:rPr>
        <w:t>pentru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demnitatea</w:t>
      </w:r>
      <w:proofErr w:type="spellEnd"/>
      <w:r w:rsidRPr="00FE6E19">
        <w:rPr>
          <w:lang w:val="en-US"/>
        </w:rPr>
        <w:t xml:space="preserve"> </w:t>
      </w:r>
      <w:proofErr w:type="spellStart"/>
      <w:r w:rsidRPr="00FE6E19">
        <w:rPr>
          <w:lang w:val="en-US"/>
        </w:rPr>
        <w:t>lor</w:t>
      </w:r>
      <w:proofErr w:type="spellEnd"/>
      <w:r w:rsidRPr="00FE6E19">
        <w:rPr>
          <w:lang w:val="en-US"/>
        </w:rPr>
        <w:t>.</w:t>
      </w:r>
    </w:p>
    <w:p w:rsidR="00483D7A" w:rsidRPr="00E639D2" w:rsidRDefault="00B012AF">
      <w:pPr>
        <w:rPr>
          <w:lang w:val="en-US"/>
        </w:rPr>
      </w:pPr>
    </w:p>
    <w:sectPr w:rsidR="00483D7A" w:rsidRPr="00E63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82"/>
    <w:rsid w:val="001A641F"/>
    <w:rsid w:val="00272F6B"/>
    <w:rsid w:val="00931482"/>
    <w:rsid w:val="00AA071C"/>
    <w:rsid w:val="00B012AF"/>
    <w:rsid w:val="00D90DFD"/>
    <w:rsid w:val="00E639D2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FD2AB-F25D-460A-A40F-3B6667DF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6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6E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E6E19"/>
    <w:rPr>
      <w:b/>
      <w:bCs/>
    </w:rPr>
  </w:style>
  <w:style w:type="paragraph" w:styleId="a4">
    <w:name w:val="Normal (Web)"/>
    <w:basedOn w:val="a"/>
    <w:uiPriority w:val="99"/>
    <w:semiHidden/>
    <w:unhideWhenUsed/>
    <w:rsid w:val="00FE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2</cp:revision>
  <dcterms:created xsi:type="dcterms:W3CDTF">2024-12-08T00:35:00Z</dcterms:created>
  <dcterms:modified xsi:type="dcterms:W3CDTF">2024-12-08T00:35:00Z</dcterms:modified>
</cp:coreProperties>
</file>