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96E6" w14:textId="77777777" w:rsidR="00071D71" w:rsidRDefault="00071D71" w:rsidP="00071D71">
      <w:pPr>
        <w:pStyle w:val="NormalWeb"/>
      </w:pPr>
    </w:p>
    <w:p w14:paraId="261B2214" w14:textId="6FA42AFD" w:rsidR="00071D71" w:rsidRPr="00071D71" w:rsidRDefault="00071D71" w:rsidP="00071D71">
      <w:pPr>
        <w:pStyle w:val="NormalWeb"/>
        <w:rPr>
          <w:b/>
          <w:bCs/>
        </w:rPr>
      </w:pPr>
      <w:r>
        <w:rPr>
          <w:b/>
          <w:bCs/>
        </w:rPr>
        <w:t>CJI, Camerun v Nigeria, 10 Oct 2002, fragment</w:t>
      </w:r>
    </w:p>
    <w:p w14:paraId="027F2B53" w14:textId="1D86F35C" w:rsidR="00071D71" w:rsidRDefault="00071D71" w:rsidP="00071D71">
      <w:pPr>
        <w:pStyle w:val="NormalWeb"/>
      </w:pPr>
      <w:r>
        <w:t>263. Curtea consideră că Declarația de la Maroua constituie un</w:t>
      </w:r>
      <w:r>
        <w:t xml:space="preserve"> </w:t>
      </w:r>
      <w:r>
        <w:t>acord internațional încheiat între state în formă scrisă și care trasează o frontieră; aceasta este astfel reglementată de dreptul internațional și constituie</w:t>
      </w:r>
      <w:r>
        <w:t xml:space="preserve"> </w:t>
      </w:r>
      <w:r>
        <w:t>un tratat în sensul Convenției de la Viena privind dreptul tratatelor</w:t>
      </w:r>
      <w:r>
        <w:t xml:space="preserve"> </w:t>
      </w:r>
      <w:r>
        <w:t>(a se vedea articolul 2 alineatul (1)), la care Nigeria este parte din 1969 și</w:t>
      </w:r>
      <w:r>
        <w:t xml:space="preserve"> </w:t>
      </w:r>
      <w:r>
        <w:t>Camerun din 1991, și care, în orice caz, reflectă dreptul internațional cutumiar</w:t>
      </w:r>
      <w:r>
        <w:t xml:space="preserve"> </w:t>
      </w:r>
      <w:r>
        <w:t>în această privință.</w:t>
      </w:r>
    </w:p>
    <w:p w14:paraId="215BA3E2" w14:textId="15BF1103" w:rsidR="00071D71" w:rsidRDefault="00071D71" w:rsidP="00071D71">
      <w:pPr>
        <w:pStyle w:val="NormalWeb"/>
      </w:pPr>
      <w:r>
        <w:t>264. Curtea nu poate accepta argumentul potrivit căruia Declarația de la Maroua</w:t>
      </w:r>
      <w:r>
        <w:t xml:space="preserve"> </w:t>
      </w:r>
      <w:r>
        <w:t>era nulă în temeiul dreptului internațional deoarece a fost semnată de</w:t>
      </w:r>
      <w:r>
        <w:t xml:space="preserve"> </w:t>
      </w:r>
      <w:r>
        <w:t>șeful statului nigerian de la acea vreme, dar nu a fost niciodată ratificată. Astfel, deși în practica internațională</w:t>
      </w:r>
      <w:r>
        <w:t xml:space="preserve"> </w:t>
      </w:r>
      <w:r>
        <w:t>o procedură în două etape, constând în semnare și ratificare,</w:t>
      </w:r>
      <w:r>
        <w:t xml:space="preserve"> </w:t>
      </w:r>
      <w:r>
        <w:t>este frecvent prevăzută în dispozițiile privind intrarea în vigoare</w:t>
      </w:r>
      <w:r>
        <w:t xml:space="preserve"> </w:t>
      </w:r>
      <w:r>
        <w:t>a unui tratat, există și cazuri în care un tratat intră în vigoare imediat</w:t>
      </w:r>
      <w:r>
        <w:t xml:space="preserve"> </w:t>
      </w:r>
      <w:r>
        <w:t>după semnare. Atât dreptul internațional cutumiar, cât și Convenția de la Viena</w:t>
      </w:r>
      <w:r>
        <w:t xml:space="preserve"> </w:t>
      </w:r>
      <w:r>
        <w:t>Convenția de la Viena privind dreptul tratatelor lasă la latitudinea statelor</w:t>
      </w:r>
      <w:r>
        <w:t xml:space="preserve"> </w:t>
      </w:r>
      <w:r>
        <w:t>procedura pe care doresc să o urmeze. În conformitate cu Declarația de la Maroua, „cei doi</w:t>
      </w:r>
      <w:r>
        <w:t xml:space="preserve"> </w:t>
      </w:r>
      <w:r>
        <w:t>șefi de stat ai Camerunului și Nigeriei au convenit să extindă delimitarea</w:t>
      </w:r>
      <w:r>
        <w:t xml:space="preserve"> </w:t>
      </w:r>
      <w:r>
        <w:t>frontierei maritime dintre cele două țări de la punctul 12</w:t>
      </w:r>
      <w:r>
        <w:t xml:space="preserve"> </w:t>
      </w:r>
      <w:r>
        <w:t>la punctul G pe harta Amiralității nr. 3433 anexată la prezenta declarație”. În opinia Curții, această Declarație a intrat în vigoare imediat</w:t>
      </w:r>
      <w:r>
        <w:t xml:space="preserve"> </w:t>
      </w:r>
      <w:r>
        <w:t>după semnarea sa.</w:t>
      </w:r>
    </w:p>
    <w:p w14:paraId="17A79A54" w14:textId="0C808BCC" w:rsidR="00071D71" w:rsidRDefault="00071D71" w:rsidP="00071D71">
      <w:pPr>
        <w:pStyle w:val="NormalWeb"/>
      </w:pPr>
      <w:r>
        <w:t>265. Curtea va aborda acum argumentul Nigeriei potrivit căruia normele sale constituționale</w:t>
      </w:r>
      <w:r>
        <w:t xml:space="preserve"> </w:t>
      </w:r>
      <w:r>
        <w:t>privind încheierea tratatelor nu au fost respectate.</w:t>
      </w:r>
      <w:r>
        <w:t xml:space="preserve"> </w:t>
      </w:r>
      <w:r>
        <w:t>În acest sens, Curtea reamintește că articolul 46 alineatul (1) din</w:t>
      </w:r>
      <w:r>
        <w:t xml:space="preserve"> </w:t>
      </w:r>
      <w:r>
        <w:t>Convenția de la Viena prevede că „un stat nu poate invoca faptul că</w:t>
      </w:r>
      <w:r>
        <w:t xml:space="preserve"> </w:t>
      </w:r>
      <w:r>
        <w:t>consimțământul său de a fi obligat printr-un tratat a fost exprimat cu încălcarea unei</w:t>
      </w:r>
      <w:r>
        <w:t xml:space="preserve"> </w:t>
      </w:r>
      <w:r>
        <w:t>dispoziții din dreptul său intern privind competența de a încheia tratate ca</w:t>
      </w:r>
      <w:r>
        <w:t xml:space="preserve"> </w:t>
      </w:r>
      <w:r>
        <w:t>invalidând consimțământul său”. Este adevărat că paragraful continuă să spună</w:t>
      </w:r>
      <w:r>
        <w:t xml:space="preserve"> </w:t>
      </w:r>
      <w:r>
        <w:t>„cu excepția cazului în care încălcarea a fost manifestă și a vizat o normă de drept intern</w:t>
      </w:r>
      <w:r>
        <w:t xml:space="preserve"> </w:t>
      </w:r>
      <w:r>
        <w:t>de importanță fundamentală”, în timp ce articolul 46 alineatul (2) prevede</w:t>
      </w:r>
      <w:r>
        <w:t xml:space="preserve"> </w:t>
      </w:r>
      <w:r>
        <w:t>că „o încălcare este manifestă dacă ar fi evidentă în mod obiectiv pentru</w:t>
      </w:r>
      <w:r>
        <w:t xml:space="preserve"> </w:t>
      </w:r>
      <w:r>
        <w:t>orice stat care se comportă în această chestiune în conformitate cu practica normală</w:t>
      </w:r>
      <w:r>
        <w:t xml:space="preserve"> </w:t>
      </w:r>
      <w:r>
        <w:t>și cu bună-credință”. Normele privind competența de a semna tratate</w:t>
      </w:r>
      <w:r>
        <w:t xml:space="preserve"> </w:t>
      </w:r>
      <w:r>
        <w:t>pentru un stat sunt norme constituționale de importanță fundamentală. Cu toate acestea,</w:t>
      </w:r>
      <w:r>
        <w:t xml:space="preserve"> </w:t>
      </w:r>
      <w:r>
        <w:t>o limitare a capacității unui șef de stat în acest sens nu este evidentă în</w:t>
      </w:r>
      <w:r>
        <w:t xml:space="preserve"> </w:t>
      </w:r>
      <w:r>
        <w:t>sensul articolului 46 alineatul (2), cu excepția cazului în care este cel puțin publicată în mod corespunzător.</w:t>
      </w:r>
      <w:r>
        <w:t xml:space="preserve"> </w:t>
      </w:r>
      <w:r>
        <w:t>Acest lucru este valabil în special deoarece șefii de stat aparțin grupului de persoane</w:t>
      </w:r>
      <w:r>
        <w:t xml:space="preserve"> </w:t>
      </w:r>
      <w:r>
        <w:t>care, în conformitate cu articolul 7 alineatul (2) din convenție</w:t>
      </w:r>
      <w:r>
        <w:t xml:space="preserve"> </w:t>
      </w:r>
      <w:r>
        <w:t>„în virtutea funcțiilor lor și fără a fi nevoie să prezinte pledoarii”</w:t>
      </w:r>
      <w:r>
        <w:t xml:space="preserve"> </w:t>
      </w:r>
      <w:r>
        <w:t>sunt considerate ca reprezentând statul lor.</w:t>
      </w:r>
      <w:r>
        <w:t xml:space="preserve"> C</w:t>
      </w:r>
      <w:r>
        <w:t>urtea nu poate accepta argumentul Nigeriei potrivit căruia articolul 7 alineatul</w:t>
      </w:r>
      <w:r>
        <w:t xml:space="preserve"> </w:t>
      </w:r>
      <w:r>
        <w:t>(2) din Convenția de la Viena privind dreptul tratatelor se referă exclusiv</w:t>
      </w:r>
      <w:r>
        <w:t xml:space="preserve"> </w:t>
      </w:r>
      <w:r>
        <w:t>la modul în care se stabilește funcția unei persoane ca reprezentant al unui stat,</w:t>
      </w:r>
      <w:r>
        <w:t xml:space="preserve"> </w:t>
      </w:r>
      <w:r>
        <w:t>dar nu se referă la întinderea competențelor acelei persoane</w:t>
      </w:r>
      <w:r>
        <w:t xml:space="preserve"> </w:t>
      </w:r>
      <w:r>
        <w:t>atunci când exercită funcția de reprezentant. Curtea observă</w:t>
      </w:r>
      <w:r>
        <w:t xml:space="preserve"> </w:t>
      </w:r>
      <w:r>
        <w:t>că comentariul Comisiei de Drept Internațional cu privire la articolul 7,</w:t>
      </w:r>
      <w:r>
        <w:t xml:space="preserve"> </w:t>
      </w:r>
      <w:r>
        <w:t>alineatul 2, prevede în mod expres că „șefii de stat [...] sunt considerați</w:t>
      </w:r>
      <w:r>
        <w:t xml:space="preserve"> </w:t>
      </w:r>
      <w:r>
        <w:t>reprezentanți ai statului lor în scopul îndeplinirii tuturor actelor legate de</w:t>
      </w:r>
      <w:r>
        <w:t xml:space="preserve"> </w:t>
      </w:r>
      <w:r>
        <w:t>încheierea unui tratat” (Comentariul ILC, articolul 6 (din ceea ce era atunci</w:t>
      </w:r>
      <w:r>
        <w:t xml:space="preserve"> </w:t>
      </w:r>
      <w:r>
        <w:t xml:space="preserve">proiectul de convenție), alineatul 4, </w:t>
      </w:r>
      <w:r>
        <w:rPr>
          <w:i/>
          <w:iCs/>
        </w:rPr>
        <w:t xml:space="preserve">Anuarul Comisiei de Drept Internațional, </w:t>
      </w:r>
      <w:r>
        <w:t>1966, vol. II, p. 193).</w:t>
      </w:r>
    </w:p>
    <w:p w14:paraId="34A55AE3" w14:textId="79C7A6A7" w:rsidR="00071D71" w:rsidRDefault="00071D71" w:rsidP="00071D71">
      <w:pPr>
        <w:pStyle w:val="NormalWeb"/>
      </w:pPr>
      <w:r>
        <w:t>266. Nigeria susține în continuare că Camerunul știa sau ar fi trebuit să</w:t>
      </w:r>
      <w:r>
        <w:t xml:space="preserve"> </w:t>
      </w:r>
      <w:r>
        <w:t>știe că șeful statului nigerian nu avea competența legală de a angaja</w:t>
      </w:r>
      <w:r>
        <w:t xml:space="preserve"> </w:t>
      </w:r>
      <w:r>
        <w:t xml:space="preserve">Nigeria fără a consulta guvernul nigerian. În </w:t>
      </w:r>
      <w:r>
        <w:lastRenderedPageBreak/>
        <w:t>acest sens,</w:t>
      </w:r>
      <w:r>
        <w:t xml:space="preserve"> </w:t>
      </w:r>
      <w:r>
        <w:t>Curtea observă că nu există o obligație legală generală pentru state de a se</w:t>
      </w:r>
      <w:r>
        <w:t xml:space="preserve"> </w:t>
      </w:r>
      <w:r>
        <w:t>ține la curent cu evoluțiile legislative și constituționale din</w:t>
      </w:r>
      <w:r>
        <w:t xml:space="preserve"> </w:t>
      </w:r>
      <w:r>
        <w:t>alte state care sunt sau pot deveni importante pentru relațiile internaționale</w:t>
      </w:r>
      <w:r>
        <w:t xml:space="preserve"> </w:t>
      </w:r>
      <w:r>
        <w:t>ale acestor state.</w:t>
      </w:r>
      <w:r>
        <w:t xml:space="preserve"> </w:t>
      </w:r>
      <w:r>
        <w:t>În acest caz, șeful statului nigerian a declarat în august 1974, în</w:t>
      </w:r>
      <w:r>
        <w:t xml:space="preserve"> </w:t>
      </w:r>
      <w:r>
        <w:t>scrisoarea sa adresată șefului statului camerunez, că opiniile Comisiei mixte</w:t>
      </w:r>
      <w:r>
        <w:t xml:space="preserve"> </w:t>
      </w:r>
      <w:r>
        <w:t>„trebuie să fie supuse acordului celor două guverne</w:t>
      </w:r>
      <w:r>
        <w:t xml:space="preserve"> </w:t>
      </w:r>
      <w:r>
        <w:t>”. Cu toate acestea, în paragraful următor al aceleiași scrisori, el a indicat în continuare:</w:t>
      </w:r>
      <w:r>
        <w:t xml:space="preserve"> </w:t>
      </w:r>
      <w:r>
        <w:t>„Am fost întotdeauna convins că putem, împreună, să reexaminăm situația și să ajungem la o decizie adecvată și acceptabilă în această privință.”</w:t>
      </w:r>
      <w:r>
        <w:t xml:space="preserve"> </w:t>
      </w:r>
      <w:r>
        <w:t>Contrar susținerii Nigeriei, Curtea consideră că aceste două declarații, citite împreună, nu pot fi considerate ca</w:t>
      </w:r>
      <w:r>
        <w:t xml:space="preserve"> </w:t>
      </w:r>
      <w:r>
        <w:t>un avertisment specific adresat Camerunului că guvernul nigerian nu va fi</w:t>
      </w:r>
      <w:r>
        <w:t xml:space="preserve"> </w:t>
      </w:r>
      <w:r>
        <w:t>obligat să respecte niciun angajament asumat de șeful statului.</w:t>
      </w:r>
      <w:r>
        <w:t xml:space="preserve"> </w:t>
      </w:r>
      <w:r>
        <w:t>Și, în special, ele nu pot fi înțelese ca referindu-se la vreun angajament care urma să fie asumat la Maroua nouă luni mai târziu. Și, în</w:t>
      </w:r>
      <w:r>
        <w:t xml:space="preserve"> </w:t>
      </w:r>
      <w:r>
        <w:t>special, ele nu pot fi înțelese ca referindu-se la vreun angajament</w:t>
      </w:r>
      <w:r>
        <w:t xml:space="preserve"> </w:t>
      </w:r>
      <w:r>
        <w:t>care urma să fie luat la Maroua nouă luni mai târziu. Scrisoarea în cauză se referea, de fapt,</w:t>
      </w:r>
      <w:r>
        <w:t xml:space="preserve"> </w:t>
      </w:r>
      <w:r>
        <w:t>la o reuniune care urma să aibă loc la Kano, Nigeria, în perioada 30 august -</w:t>
      </w:r>
      <w:r>
        <w:t xml:space="preserve"> </w:t>
      </w:r>
      <w:r>
        <w:t>1 septembrie 1974. Această scrisoare pare să fi făcut parte dintr-un model care</w:t>
      </w:r>
      <w:r>
        <w:t xml:space="preserve"> </w:t>
      </w:r>
      <w:r>
        <w:t>a marcat negocierile dintre părți privind frontierele între 1970 și 1975, în</w:t>
      </w:r>
      <w:r>
        <w:t xml:space="preserve"> </w:t>
      </w:r>
      <w:r>
        <w:t>care cei doi șefi de stat au luat inițiativa de a rezolva dificultățile din</w:t>
      </w:r>
      <w:r>
        <w:t xml:space="preserve"> </w:t>
      </w:r>
      <w:r>
        <w:t>aceste negocieri prin acorduri personale, inclusiv cele</w:t>
      </w:r>
      <w:r>
        <w:t xml:space="preserve"> </w:t>
      </w:r>
      <w:r>
        <w:t>de la Yaoundé II și Maroua.</w:t>
      </w:r>
    </w:p>
    <w:p w14:paraId="63D02265" w14:textId="23714EDA" w:rsidR="00071D71" w:rsidRDefault="00071D71" w:rsidP="00071D71">
      <w:pPr>
        <w:pStyle w:val="NormalWeb"/>
      </w:pPr>
      <w:r>
        <w:t>267. Curtea observă, de asemenea, că în iulie 1975 cele două părți</w:t>
      </w:r>
      <w:r>
        <w:t xml:space="preserve"> </w:t>
      </w:r>
      <w:r>
        <w:t>au introdus o corectură în Declarația de la Maroua, că, procedând astfel,</w:t>
      </w:r>
      <w:r>
        <w:t xml:space="preserve"> </w:t>
      </w:r>
      <w:r>
        <w:t>au considerat declarația ca fiind valabilă și aplicabilă și că Nigeria nu</w:t>
      </w:r>
      <w:r>
        <w:t xml:space="preserve"> </w:t>
      </w:r>
      <w:r>
        <w:t>pretinde că a contestat valabilitatea sau aplicabilitatea acesteia înainte de 1977.</w:t>
      </w:r>
    </w:p>
    <w:p w14:paraId="7CAD2345" w14:textId="03E2477B" w:rsidR="00071D71" w:rsidRDefault="00071D71" w:rsidP="00071D71">
      <w:pPr>
        <w:pStyle w:val="NormalWeb"/>
      </w:pPr>
      <w:r>
        <w:t>268. În aceste circumstanțe, Declarația de la Maroua, precum și</w:t>
      </w:r>
      <w:r>
        <w:t xml:space="preserve"> </w:t>
      </w:r>
      <w:r>
        <w:t>Declarația de la Yaoundé II, trebuie considerate ca fiind obligatorii și ca</w:t>
      </w:r>
      <w:r>
        <w:t xml:space="preserve"> </w:t>
      </w:r>
      <w:r>
        <w:t>stabilind o obligație legală pentru Nigeria.</w:t>
      </w:r>
    </w:p>
    <w:p w14:paraId="192F097A" w14:textId="77777777" w:rsidR="00071D71" w:rsidRDefault="00071D71" w:rsidP="00071D71">
      <w:pPr>
        <w:pStyle w:val="NormalWeb"/>
      </w:pPr>
    </w:p>
    <w:p w14:paraId="3C8B4717" w14:textId="77777777" w:rsidR="00071D71" w:rsidRDefault="00071D71" w:rsidP="00071D71">
      <w:pPr>
        <w:pStyle w:val="NormalWeb"/>
      </w:pPr>
    </w:p>
    <w:p w14:paraId="14CE53F1" w14:textId="77777777" w:rsidR="002D358A" w:rsidRDefault="002D358A"/>
    <w:sectPr w:rsidR="002D3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71"/>
    <w:rsid w:val="00071D71"/>
    <w:rsid w:val="002D358A"/>
    <w:rsid w:val="0086377F"/>
    <w:rsid w:val="00932E3F"/>
    <w:rsid w:val="00E068F0"/>
    <w:rsid w:val="00F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AE4EB"/>
  <w15:chartTrackingRefBased/>
  <w15:docId w15:val="{D5A16F54-7B07-3F42-BA63-C3DF68C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D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D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D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D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D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D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1D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Furculita</dc:creator>
  <cp:keywords/>
  <dc:description/>
  <cp:lastModifiedBy>Cornelia Furculita</cp:lastModifiedBy>
  <cp:revision>1</cp:revision>
  <dcterms:created xsi:type="dcterms:W3CDTF">2025-09-24T07:59:00Z</dcterms:created>
  <dcterms:modified xsi:type="dcterms:W3CDTF">2025-09-24T08:02:00Z</dcterms:modified>
</cp:coreProperties>
</file>