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D2BFD4A" w14:textId="77777777" w:rsidR="00292EBC" w:rsidRPr="009C3A85" w:rsidRDefault="00292EBC" w:rsidP="002904F1">
      <w:pPr>
        <w:jc w:val="center"/>
        <w:rPr>
          <w:lang w:val="ro-MD"/>
        </w:rPr>
      </w:pPr>
      <w:bookmarkStart w:id="0" w:name="_GoBack"/>
      <w:bookmarkEnd w:id="0"/>
      <w:r w:rsidRPr="009C3A85">
        <w:rPr>
          <w:noProof/>
          <w:lang w:eastAsia="ru-RU"/>
        </w:rPr>
        <w:drawing>
          <wp:inline distT="0" distB="0" distL="0" distR="0" wp14:anchorId="68FA0D0A" wp14:editId="56D0A149">
            <wp:extent cx="9095635" cy="3003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13494" r="14401" b="36209"/>
                    <a:stretch/>
                  </pic:blipFill>
                  <pic:spPr bwMode="auto">
                    <a:xfrm>
                      <a:off x="0" y="0"/>
                      <a:ext cx="9132683" cy="3015784"/>
                    </a:xfrm>
                    <a:prstGeom prst="rect">
                      <a:avLst/>
                    </a:prstGeom>
                    <a:noFill/>
                    <a:ln>
                      <a:noFill/>
                    </a:ln>
                    <a:extLst>
                      <a:ext uri="{53640926-AAD7-44D8-BBD7-CCE9431645EC}">
                        <a14:shadowObscured xmlns:a14="http://schemas.microsoft.com/office/drawing/2010/main"/>
                      </a:ext>
                    </a:extLst>
                  </pic:spPr>
                </pic:pic>
              </a:graphicData>
            </a:graphic>
          </wp:inline>
        </w:drawing>
      </w:r>
    </w:p>
    <w:p w14:paraId="25F6BD5D" w14:textId="77777777" w:rsidR="00292EBC" w:rsidRPr="009C3A85" w:rsidRDefault="00292EBC" w:rsidP="00292EBC">
      <w:pPr>
        <w:jc w:val="center"/>
        <w:rPr>
          <w:rFonts w:asciiTheme="majorBidi" w:hAnsiTheme="majorBidi" w:cstheme="majorBidi"/>
          <w:b/>
          <w:bCs/>
          <w:sz w:val="72"/>
          <w:szCs w:val="72"/>
          <w:lang w:val="ro-MD"/>
        </w:rPr>
      </w:pPr>
      <w:r w:rsidRPr="009C3A85">
        <w:rPr>
          <w:rFonts w:asciiTheme="majorBidi" w:hAnsiTheme="majorBidi" w:cstheme="majorBidi"/>
          <w:b/>
          <w:bCs/>
          <w:sz w:val="72"/>
          <w:szCs w:val="72"/>
          <w:lang w:val="ro-MD"/>
        </w:rPr>
        <w:t>Indice tabelar</w:t>
      </w:r>
    </w:p>
    <w:p w14:paraId="1EE5DA11" w14:textId="77777777" w:rsidR="003E3EE9" w:rsidRPr="009C3A85" w:rsidRDefault="00292EBC" w:rsidP="00292EBC">
      <w:pPr>
        <w:jc w:val="center"/>
        <w:rPr>
          <w:rFonts w:asciiTheme="majorBidi" w:hAnsiTheme="majorBidi" w:cstheme="majorBidi"/>
          <w:sz w:val="52"/>
          <w:szCs w:val="52"/>
          <w:lang w:val="ro-MD"/>
        </w:rPr>
      </w:pPr>
      <w:r w:rsidRPr="009C3A85">
        <w:rPr>
          <w:rFonts w:asciiTheme="majorBidi" w:hAnsiTheme="majorBidi" w:cstheme="majorBidi"/>
          <w:sz w:val="52"/>
          <w:szCs w:val="52"/>
          <w:lang w:val="ro-MD"/>
        </w:rPr>
        <w:t>Hotărârile Curții Europene a Drepturilor Omului</w:t>
      </w:r>
    </w:p>
    <w:p w14:paraId="684F3DF6" w14:textId="77777777" w:rsidR="00794B78" w:rsidRPr="009C3A85" w:rsidRDefault="003E3EE9" w:rsidP="00292EBC">
      <w:pPr>
        <w:jc w:val="center"/>
        <w:rPr>
          <w:rFonts w:asciiTheme="majorBidi" w:hAnsiTheme="majorBidi" w:cstheme="majorBidi"/>
          <w:sz w:val="52"/>
          <w:szCs w:val="52"/>
          <w:lang w:val="ro-MD"/>
        </w:rPr>
      </w:pPr>
      <w:r w:rsidRPr="009C3A85">
        <w:rPr>
          <w:rFonts w:asciiTheme="majorBidi" w:hAnsiTheme="majorBidi" w:cstheme="majorBidi"/>
          <w:sz w:val="52"/>
          <w:szCs w:val="52"/>
          <w:lang w:val="ro-MD"/>
        </w:rPr>
        <w:t>2020-2025</w:t>
      </w:r>
    </w:p>
    <w:p w14:paraId="58488943" w14:textId="15F734EE" w:rsidR="00292EBC" w:rsidRPr="009C3A85" w:rsidRDefault="00794B78" w:rsidP="00292EBC">
      <w:pPr>
        <w:jc w:val="center"/>
        <w:rPr>
          <w:rFonts w:asciiTheme="majorBidi" w:hAnsiTheme="majorBidi" w:cstheme="majorBidi"/>
          <w:sz w:val="56"/>
          <w:szCs w:val="56"/>
          <w:lang w:val="ro-MD"/>
        </w:rPr>
      </w:pPr>
      <w:r w:rsidRPr="009C3A85">
        <w:rPr>
          <w:rFonts w:asciiTheme="majorBidi" w:hAnsiTheme="majorBidi" w:cstheme="majorBidi"/>
          <w:sz w:val="32"/>
          <w:szCs w:val="32"/>
          <w:lang w:val="ro-MD"/>
        </w:rPr>
        <w:t xml:space="preserve">Valeria Butorina, </w:t>
      </w:r>
      <w:r w:rsidR="00E653F5" w:rsidRPr="009C3A85">
        <w:rPr>
          <w:rFonts w:asciiTheme="majorBidi" w:hAnsiTheme="majorBidi" w:cstheme="majorBidi"/>
          <w:sz w:val="32"/>
          <w:szCs w:val="32"/>
          <w:lang w:val="ro-MD"/>
        </w:rPr>
        <w:t xml:space="preserve">anul I, </w:t>
      </w:r>
      <w:r w:rsidRPr="009C3A85">
        <w:rPr>
          <w:rFonts w:asciiTheme="majorBidi" w:hAnsiTheme="majorBidi" w:cstheme="majorBidi"/>
          <w:sz w:val="32"/>
          <w:szCs w:val="32"/>
          <w:lang w:val="ro-MD"/>
        </w:rPr>
        <w:t>masterandă,</w:t>
      </w:r>
      <w:r w:rsidR="00E90270">
        <w:rPr>
          <w:rFonts w:asciiTheme="majorBidi" w:hAnsiTheme="majorBidi" w:cstheme="majorBidi"/>
          <w:sz w:val="32"/>
          <w:szCs w:val="32"/>
          <w:lang w:val="ro-MD"/>
        </w:rPr>
        <w:t xml:space="preserve"> </w:t>
      </w:r>
      <w:r w:rsidR="00E90270">
        <w:rPr>
          <w:rFonts w:asciiTheme="majorBidi" w:hAnsiTheme="majorBidi" w:cstheme="majorBidi"/>
          <w:sz w:val="32"/>
          <w:szCs w:val="32"/>
          <w:lang w:val="ro-MD"/>
        </w:rPr>
        <w:br/>
        <w:t>programul Drept internațional,</w:t>
      </w:r>
      <w:r w:rsidRPr="009C3A85">
        <w:rPr>
          <w:rFonts w:asciiTheme="majorBidi" w:hAnsiTheme="majorBidi" w:cstheme="majorBidi"/>
          <w:sz w:val="32"/>
          <w:szCs w:val="32"/>
          <w:lang w:val="ro-MD"/>
        </w:rPr>
        <w:t xml:space="preserve"> Facutatea de Drept, USM</w:t>
      </w:r>
      <w:r w:rsidR="00292EBC" w:rsidRPr="009C3A85">
        <w:rPr>
          <w:rFonts w:asciiTheme="majorBidi" w:hAnsiTheme="majorBidi" w:cstheme="majorBidi"/>
          <w:lang w:val="ro-MD"/>
        </w:rPr>
        <w:br w:type="page"/>
      </w:r>
    </w:p>
    <w:p w14:paraId="6C42F6FC" w14:textId="662CF6F6" w:rsidR="003A65EE" w:rsidRPr="009C3A85" w:rsidRDefault="005906C3" w:rsidP="00E617C0">
      <w:pPr>
        <w:pStyle w:val="11"/>
        <w:rPr>
          <w:lang w:val="ro-MD"/>
        </w:rPr>
      </w:pPr>
      <w:r w:rsidRPr="009C3A85">
        <w:rPr>
          <w:lang w:val="ro-MD"/>
        </w:rPr>
        <w:lastRenderedPageBreak/>
        <w:t>Cuprins</w:t>
      </w:r>
    </w:p>
    <w:p w14:paraId="73321438" w14:textId="7B794AB1" w:rsidR="0083474D" w:rsidRPr="009C3A85" w:rsidRDefault="003A65EE">
      <w:pPr>
        <w:pStyle w:val="11"/>
        <w:rPr>
          <w:rFonts w:asciiTheme="minorHAnsi" w:hAnsiTheme="minorHAnsi" w:cstheme="minorBidi"/>
          <w:b w:val="0"/>
          <w:bCs w:val="0"/>
          <w:noProof/>
          <w:sz w:val="24"/>
          <w:szCs w:val="24"/>
          <w:lang w:val="ro-MD"/>
        </w:rPr>
      </w:pPr>
      <w:r w:rsidRPr="009C3A85">
        <w:rPr>
          <w:lang w:val="ro-MD"/>
        </w:rPr>
        <w:fldChar w:fldCharType="begin"/>
      </w:r>
      <w:r w:rsidRPr="009C3A85">
        <w:rPr>
          <w:lang w:val="ro-MD"/>
        </w:rPr>
        <w:instrText xml:space="preserve"> TOC \o "1-3" \h \z \u </w:instrText>
      </w:r>
      <w:r w:rsidRPr="009C3A85">
        <w:rPr>
          <w:lang w:val="ro-MD"/>
        </w:rPr>
        <w:fldChar w:fldCharType="separate"/>
      </w:r>
      <w:hyperlink w:anchor="_Toc213590705" w:history="1">
        <w:r w:rsidR="0083474D" w:rsidRPr="009C3A85">
          <w:rPr>
            <w:rStyle w:val="a4"/>
            <w:noProof/>
            <w:sz w:val="24"/>
            <w:szCs w:val="24"/>
            <w:lang w:val="ro-MD"/>
          </w:rPr>
          <w:t>Articolul 2. Dreptul la viață</w:t>
        </w:r>
        <w:r w:rsidR="0083474D" w:rsidRPr="009C3A85">
          <w:rPr>
            <w:noProof/>
            <w:webHidden/>
            <w:sz w:val="24"/>
            <w:szCs w:val="24"/>
            <w:lang w:val="ro-MD"/>
          </w:rPr>
          <w:tab/>
        </w:r>
        <w:r w:rsidR="0083474D" w:rsidRPr="009C3A85">
          <w:rPr>
            <w:noProof/>
            <w:webHidden/>
            <w:sz w:val="24"/>
            <w:szCs w:val="24"/>
            <w:lang w:val="ro-MD"/>
          </w:rPr>
          <w:fldChar w:fldCharType="begin"/>
        </w:r>
        <w:r w:rsidR="0083474D" w:rsidRPr="009C3A85">
          <w:rPr>
            <w:noProof/>
            <w:webHidden/>
            <w:sz w:val="24"/>
            <w:szCs w:val="24"/>
            <w:lang w:val="ro-MD"/>
          </w:rPr>
          <w:instrText xml:space="preserve"> PAGEREF _Toc213590705 \h </w:instrText>
        </w:r>
        <w:r w:rsidR="0083474D" w:rsidRPr="009C3A85">
          <w:rPr>
            <w:noProof/>
            <w:webHidden/>
            <w:sz w:val="24"/>
            <w:szCs w:val="24"/>
            <w:lang w:val="ro-MD"/>
          </w:rPr>
        </w:r>
        <w:r w:rsidR="0083474D" w:rsidRPr="009C3A85">
          <w:rPr>
            <w:noProof/>
            <w:webHidden/>
            <w:sz w:val="24"/>
            <w:szCs w:val="24"/>
            <w:lang w:val="ro-MD"/>
          </w:rPr>
          <w:fldChar w:fldCharType="separate"/>
        </w:r>
        <w:r w:rsidR="00F32292">
          <w:rPr>
            <w:noProof/>
            <w:webHidden/>
            <w:sz w:val="24"/>
            <w:szCs w:val="24"/>
            <w:lang w:val="ro-MD"/>
          </w:rPr>
          <w:t>3</w:t>
        </w:r>
        <w:r w:rsidR="0083474D" w:rsidRPr="009C3A85">
          <w:rPr>
            <w:noProof/>
            <w:webHidden/>
            <w:sz w:val="24"/>
            <w:szCs w:val="24"/>
            <w:lang w:val="ro-MD"/>
          </w:rPr>
          <w:fldChar w:fldCharType="end"/>
        </w:r>
      </w:hyperlink>
    </w:p>
    <w:p w14:paraId="633E96CA" w14:textId="78373B76" w:rsidR="0083474D" w:rsidRPr="009C3A85" w:rsidRDefault="00456145">
      <w:pPr>
        <w:pStyle w:val="11"/>
        <w:rPr>
          <w:rFonts w:asciiTheme="minorHAnsi" w:hAnsiTheme="minorHAnsi" w:cstheme="minorBidi"/>
          <w:b w:val="0"/>
          <w:bCs w:val="0"/>
          <w:noProof/>
          <w:sz w:val="24"/>
          <w:szCs w:val="24"/>
          <w:lang w:val="ro-MD"/>
        </w:rPr>
      </w:pPr>
      <w:hyperlink w:anchor="_Toc213590706" w:history="1">
        <w:r w:rsidR="0083474D" w:rsidRPr="009C3A85">
          <w:rPr>
            <w:rStyle w:val="a4"/>
            <w:noProof/>
            <w:sz w:val="24"/>
            <w:szCs w:val="24"/>
            <w:lang w:val="ro-MD"/>
          </w:rPr>
          <w:t>Articolul 3. Interzicerea torturii</w:t>
        </w:r>
        <w:r w:rsidR="0083474D" w:rsidRPr="009C3A85">
          <w:rPr>
            <w:noProof/>
            <w:webHidden/>
            <w:sz w:val="24"/>
            <w:szCs w:val="24"/>
            <w:lang w:val="ro-MD"/>
          </w:rPr>
          <w:tab/>
        </w:r>
        <w:r w:rsidR="0083474D" w:rsidRPr="009C3A85">
          <w:rPr>
            <w:noProof/>
            <w:webHidden/>
            <w:sz w:val="24"/>
            <w:szCs w:val="24"/>
            <w:lang w:val="ro-MD"/>
          </w:rPr>
          <w:fldChar w:fldCharType="begin"/>
        </w:r>
        <w:r w:rsidR="0083474D" w:rsidRPr="009C3A85">
          <w:rPr>
            <w:noProof/>
            <w:webHidden/>
            <w:sz w:val="24"/>
            <w:szCs w:val="24"/>
            <w:lang w:val="ro-MD"/>
          </w:rPr>
          <w:instrText xml:space="preserve"> PAGEREF _Toc213590706 \h </w:instrText>
        </w:r>
        <w:r w:rsidR="0083474D" w:rsidRPr="009C3A85">
          <w:rPr>
            <w:noProof/>
            <w:webHidden/>
            <w:sz w:val="24"/>
            <w:szCs w:val="24"/>
            <w:lang w:val="ro-MD"/>
          </w:rPr>
        </w:r>
        <w:r w:rsidR="0083474D" w:rsidRPr="009C3A85">
          <w:rPr>
            <w:noProof/>
            <w:webHidden/>
            <w:sz w:val="24"/>
            <w:szCs w:val="24"/>
            <w:lang w:val="ro-MD"/>
          </w:rPr>
          <w:fldChar w:fldCharType="separate"/>
        </w:r>
        <w:r w:rsidR="00F32292">
          <w:rPr>
            <w:noProof/>
            <w:webHidden/>
            <w:sz w:val="24"/>
            <w:szCs w:val="24"/>
            <w:lang w:val="ro-MD"/>
          </w:rPr>
          <w:t>5</w:t>
        </w:r>
        <w:r w:rsidR="0083474D" w:rsidRPr="009C3A85">
          <w:rPr>
            <w:noProof/>
            <w:webHidden/>
            <w:sz w:val="24"/>
            <w:szCs w:val="24"/>
            <w:lang w:val="ro-MD"/>
          </w:rPr>
          <w:fldChar w:fldCharType="end"/>
        </w:r>
      </w:hyperlink>
    </w:p>
    <w:p w14:paraId="732BA191" w14:textId="2EA6121F" w:rsidR="0083474D" w:rsidRPr="009C3A85" w:rsidRDefault="00456145">
      <w:pPr>
        <w:pStyle w:val="11"/>
        <w:rPr>
          <w:rFonts w:asciiTheme="minorHAnsi" w:hAnsiTheme="minorHAnsi" w:cstheme="minorBidi"/>
          <w:b w:val="0"/>
          <w:bCs w:val="0"/>
          <w:noProof/>
          <w:sz w:val="24"/>
          <w:szCs w:val="24"/>
          <w:lang w:val="ro-MD"/>
        </w:rPr>
      </w:pPr>
      <w:hyperlink w:anchor="_Toc213590707" w:history="1">
        <w:r w:rsidR="0083474D" w:rsidRPr="009C3A85">
          <w:rPr>
            <w:rStyle w:val="a4"/>
            <w:noProof/>
            <w:sz w:val="24"/>
            <w:szCs w:val="24"/>
            <w:lang w:val="ro-MD"/>
          </w:rPr>
          <w:t>Articolul 5. Dreptul la libertate și siguranță</w:t>
        </w:r>
        <w:r w:rsidR="0083474D" w:rsidRPr="009C3A85">
          <w:rPr>
            <w:noProof/>
            <w:webHidden/>
            <w:sz w:val="24"/>
            <w:szCs w:val="24"/>
            <w:lang w:val="ro-MD"/>
          </w:rPr>
          <w:tab/>
        </w:r>
        <w:r w:rsidR="0083474D" w:rsidRPr="009C3A85">
          <w:rPr>
            <w:noProof/>
            <w:webHidden/>
            <w:sz w:val="24"/>
            <w:szCs w:val="24"/>
            <w:lang w:val="ro-MD"/>
          </w:rPr>
          <w:fldChar w:fldCharType="begin"/>
        </w:r>
        <w:r w:rsidR="0083474D" w:rsidRPr="009C3A85">
          <w:rPr>
            <w:noProof/>
            <w:webHidden/>
            <w:sz w:val="24"/>
            <w:szCs w:val="24"/>
            <w:lang w:val="ro-MD"/>
          </w:rPr>
          <w:instrText xml:space="preserve"> PAGEREF _Toc213590707 \h </w:instrText>
        </w:r>
        <w:r w:rsidR="0083474D" w:rsidRPr="009C3A85">
          <w:rPr>
            <w:noProof/>
            <w:webHidden/>
            <w:sz w:val="24"/>
            <w:szCs w:val="24"/>
            <w:lang w:val="ro-MD"/>
          </w:rPr>
        </w:r>
        <w:r w:rsidR="0083474D" w:rsidRPr="009C3A85">
          <w:rPr>
            <w:noProof/>
            <w:webHidden/>
            <w:sz w:val="24"/>
            <w:szCs w:val="24"/>
            <w:lang w:val="ro-MD"/>
          </w:rPr>
          <w:fldChar w:fldCharType="separate"/>
        </w:r>
        <w:r w:rsidR="00F32292">
          <w:rPr>
            <w:noProof/>
            <w:webHidden/>
            <w:sz w:val="24"/>
            <w:szCs w:val="24"/>
            <w:lang w:val="ro-MD"/>
          </w:rPr>
          <w:t>9</w:t>
        </w:r>
        <w:r w:rsidR="0083474D" w:rsidRPr="009C3A85">
          <w:rPr>
            <w:noProof/>
            <w:webHidden/>
            <w:sz w:val="24"/>
            <w:szCs w:val="24"/>
            <w:lang w:val="ro-MD"/>
          </w:rPr>
          <w:fldChar w:fldCharType="end"/>
        </w:r>
      </w:hyperlink>
    </w:p>
    <w:p w14:paraId="6BE21DE0" w14:textId="2EAFAD43" w:rsidR="0083474D" w:rsidRPr="009C3A85" w:rsidRDefault="00456145">
      <w:pPr>
        <w:pStyle w:val="11"/>
        <w:rPr>
          <w:rFonts w:asciiTheme="minorHAnsi" w:hAnsiTheme="minorHAnsi" w:cstheme="minorBidi"/>
          <w:b w:val="0"/>
          <w:bCs w:val="0"/>
          <w:noProof/>
          <w:sz w:val="24"/>
          <w:szCs w:val="24"/>
          <w:lang w:val="ro-MD"/>
        </w:rPr>
      </w:pPr>
      <w:hyperlink w:anchor="_Toc213590708" w:history="1">
        <w:r w:rsidR="0083474D" w:rsidRPr="009C3A85">
          <w:rPr>
            <w:rStyle w:val="a4"/>
            <w:noProof/>
            <w:sz w:val="24"/>
            <w:szCs w:val="24"/>
            <w:lang w:val="ro-MD"/>
          </w:rPr>
          <w:t>Articolul 6. Dreptul la un proces echitabil</w:t>
        </w:r>
        <w:r w:rsidR="0083474D" w:rsidRPr="009C3A85">
          <w:rPr>
            <w:noProof/>
            <w:webHidden/>
            <w:sz w:val="24"/>
            <w:szCs w:val="24"/>
            <w:lang w:val="ro-MD"/>
          </w:rPr>
          <w:tab/>
        </w:r>
        <w:r w:rsidR="0083474D" w:rsidRPr="009C3A85">
          <w:rPr>
            <w:noProof/>
            <w:webHidden/>
            <w:sz w:val="24"/>
            <w:szCs w:val="24"/>
            <w:lang w:val="ro-MD"/>
          </w:rPr>
          <w:fldChar w:fldCharType="begin"/>
        </w:r>
        <w:r w:rsidR="0083474D" w:rsidRPr="009C3A85">
          <w:rPr>
            <w:noProof/>
            <w:webHidden/>
            <w:sz w:val="24"/>
            <w:szCs w:val="24"/>
            <w:lang w:val="ro-MD"/>
          </w:rPr>
          <w:instrText xml:space="preserve"> PAGEREF _Toc213590708 \h </w:instrText>
        </w:r>
        <w:r w:rsidR="0083474D" w:rsidRPr="009C3A85">
          <w:rPr>
            <w:noProof/>
            <w:webHidden/>
            <w:sz w:val="24"/>
            <w:szCs w:val="24"/>
            <w:lang w:val="ro-MD"/>
          </w:rPr>
        </w:r>
        <w:r w:rsidR="0083474D" w:rsidRPr="009C3A85">
          <w:rPr>
            <w:noProof/>
            <w:webHidden/>
            <w:sz w:val="24"/>
            <w:szCs w:val="24"/>
            <w:lang w:val="ro-MD"/>
          </w:rPr>
          <w:fldChar w:fldCharType="separate"/>
        </w:r>
        <w:r w:rsidR="00F32292">
          <w:rPr>
            <w:noProof/>
            <w:webHidden/>
            <w:sz w:val="24"/>
            <w:szCs w:val="24"/>
            <w:lang w:val="ro-MD"/>
          </w:rPr>
          <w:t>11</w:t>
        </w:r>
        <w:r w:rsidR="0083474D" w:rsidRPr="009C3A85">
          <w:rPr>
            <w:noProof/>
            <w:webHidden/>
            <w:sz w:val="24"/>
            <w:szCs w:val="24"/>
            <w:lang w:val="ro-MD"/>
          </w:rPr>
          <w:fldChar w:fldCharType="end"/>
        </w:r>
      </w:hyperlink>
    </w:p>
    <w:p w14:paraId="5CA11149" w14:textId="44CAAC0F" w:rsidR="0083474D" w:rsidRPr="009C3A85" w:rsidRDefault="00456145">
      <w:pPr>
        <w:pStyle w:val="11"/>
        <w:rPr>
          <w:rFonts w:asciiTheme="minorHAnsi" w:hAnsiTheme="minorHAnsi" w:cstheme="minorBidi"/>
          <w:b w:val="0"/>
          <w:bCs w:val="0"/>
          <w:noProof/>
          <w:sz w:val="24"/>
          <w:szCs w:val="24"/>
          <w:lang w:val="ro-MD"/>
        </w:rPr>
      </w:pPr>
      <w:hyperlink w:anchor="_Toc213590709" w:history="1">
        <w:r w:rsidR="0083474D" w:rsidRPr="009C3A85">
          <w:rPr>
            <w:rStyle w:val="a4"/>
            <w:noProof/>
            <w:sz w:val="24"/>
            <w:szCs w:val="24"/>
            <w:lang w:val="ro-MD"/>
          </w:rPr>
          <w:t>Articolul 7. Nicio pedeapsă fără lege</w:t>
        </w:r>
        <w:r w:rsidR="0083474D" w:rsidRPr="009C3A85">
          <w:rPr>
            <w:noProof/>
            <w:webHidden/>
            <w:sz w:val="24"/>
            <w:szCs w:val="24"/>
            <w:lang w:val="ro-MD"/>
          </w:rPr>
          <w:tab/>
        </w:r>
        <w:r w:rsidR="0083474D" w:rsidRPr="009C3A85">
          <w:rPr>
            <w:noProof/>
            <w:webHidden/>
            <w:sz w:val="24"/>
            <w:szCs w:val="24"/>
            <w:lang w:val="ro-MD"/>
          </w:rPr>
          <w:fldChar w:fldCharType="begin"/>
        </w:r>
        <w:r w:rsidR="0083474D" w:rsidRPr="009C3A85">
          <w:rPr>
            <w:noProof/>
            <w:webHidden/>
            <w:sz w:val="24"/>
            <w:szCs w:val="24"/>
            <w:lang w:val="ro-MD"/>
          </w:rPr>
          <w:instrText xml:space="preserve"> PAGEREF _Toc213590709 \h </w:instrText>
        </w:r>
        <w:r w:rsidR="0083474D" w:rsidRPr="009C3A85">
          <w:rPr>
            <w:noProof/>
            <w:webHidden/>
            <w:sz w:val="24"/>
            <w:szCs w:val="24"/>
            <w:lang w:val="ro-MD"/>
          </w:rPr>
        </w:r>
        <w:r w:rsidR="0083474D" w:rsidRPr="009C3A85">
          <w:rPr>
            <w:noProof/>
            <w:webHidden/>
            <w:sz w:val="24"/>
            <w:szCs w:val="24"/>
            <w:lang w:val="ro-MD"/>
          </w:rPr>
          <w:fldChar w:fldCharType="separate"/>
        </w:r>
        <w:r w:rsidR="00F32292">
          <w:rPr>
            <w:noProof/>
            <w:webHidden/>
            <w:sz w:val="24"/>
            <w:szCs w:val="24"/>
            <w:lang w:val="ro-MD"/>
          </w:rPr>
          <w:t>19</w:t>
        </w:r>
        <w:r w:rsidR="0083474D" w:rsidRPr="009C3A85">
          <w:rPr>
            <w:noProof/>
            <w:webHidden/>
            <w:sz w:val="24"/>
            <w:szCs w:val="24"/>
            <w:lang w:val="ro-MD"/>
          </w:rPr>
          <w:fldChar w:fldCharType="end"/>
        </w:r>
      </w:hyperlink>
    </w:p>
    <w:p w14:paraId="2A21018D" w14:textId="229E29A1" w:rsidR="0083474D" w:rsidRPr="009C3A85" w:rsidRDefault="00456145">
      <w:pPr>
        <w:pStyle w:val="11"/>
        <w:rPr>
          <w:rFonts w:asciiTheme="minorHAnsi" w:hAnsiTheme="minorHAnsi" w:cstheme="minorBidi"/>
          <w:b w:val="0"/>
          <w:bCs w:val="0"/>
          <w:noProof/>
          <w:sz w:val="24"/>
          <w:szCs w:val="24"/>
          <w:lang w:val="ro-MD"/>
        </w:rPr>
      </w:pPr>
      <w:hyperlink w:anchor="_Toc213590710" w:history="1">
        <w:r w:rsidR="0083474D" w:rsidRPr="009C3A85">
          <w:rPr>
            <w:rStyle w:val="a4"/>
            <w:noProof/>
            <w:sz w:val="24"/>
            <w:szCs w:val="24"/>
            <w:lang w:val="ro-MD"/>
          </w:rPr>
          <w:t>Articolul 8. Dreptul la respectarea vieţii private şi de familie</w:t>
        </w:r>
        <w:r w:rsidR="0083474D" w:rsidRPr="009C3A85">
          <w:rPr>
            <w:noProof/>
            <w:webHidden/>
            <w:sz w:val="24"/>
            <w:szCs w:val="24"/>
            <w:lang w:val="ro-MD"/>
          </w:rPr>
          <w:tab/>
        </w:r>
        <w:r w:rsidR="0083474D" w:rsidRPr="009C3A85">
          <w:rPr>
            <w:noProof/>
            <w:webHidden/>
            <w:sz w:val="24"/>
            <w:szCs w:val="24"/>
            <w:lang w:val="ro-MD"/>
          </w:rPr>
          <w:fldChar w:fldCharType="begin"/>
        </w:r>
        <w:r w:rsidR="0083474D" w:rsidRPr="009C3A85">
          <w:rPr>
            <w:noProof/>
            <w:webHidden/>
            <w:sz w:val="24"/>
            <w:szCs w:val="24"/>
            <w:lang w:val="ro-MD"/>
          </w:rPr>
          <w:instrText xml:space="preserve"> PAGEREF _Toc213590710 \h </w:instrText>
        </w:r>
        <w:r w:rsidR="0083474D" w:rsidRPr="009C3A85">
          <w:rPr>
            <w:noProof/>
            <w:webHidden/>
            <w:sz w:val="24"/>
            <w:szCs w:val="24"/>
            <w:lang w:val="ro-MD"/>
          </w:rPr>
        </w:r>
        <w:r w:rsidR="0083474D" w:rsidRPr="009C3A85">
          <w:rPr>
            <w:noProof/>
            <w:webHidden/>
            <w:sz w:val="24"/>
            <w:szCs w:val="24"/>
            <w:lang w:val="ro-MD"/>
          </w:rPr>
          <w:fldChar w:fldCharType="separate"/>
        </w:r>
        <w:r w:rsidR="00F32292">
          <w:rPr>
            <w:noProof/>
            <w:webHidden/>
            <w:sz w:val="24"/>
            <w:szCs w:val="24"/>
            <w:lang w:val="ro-MD"/>
          </w:rPr>
          <w:t>20</w:t>
        </w:r>
        <w:r w:rsidR="0083474D" w:rsidRPr="009C3A85">
          <w:rPr>
            <w:noProof/>
            <w:webHidden/>
            <w:sz w:val="24"/>
            <w:szCs w:val="24"/>
            <w:lang w:val="ro-MD"/>
          </w:rPr>
          <w:fldChar w:fldCharType="end"/>
        </w:r>
      </w:hyperlink>
    </w:p>
    <w:p w14:paraId="4F454481" w14:textId="7BF543C2" w:rsidR="0083474D" w:rsidRPr="009C3A85" w:rsidRDefault="00456145">
      <w:pPr>
        <w:pStyle w:val="11"/>
        <w:rPr>
          <w:rFonts w:asciiTheme="minorHAnsi" w:hAnsiTheme="minorHAnsi" w:cstheme="minorBidi"/>
          <w:b w:val="0"/>
          <w:bCs w:val="0"/>
          <w:noProof/>
          <w:sz w:val="24"/>
          <w:szCs w:val="24"/>
          <w:lang w:val="ro-MD"/>
        </w:rPr>
      </w:pPr>
      <w:hyperlink w:anchor="_Toc213590711" w:history="1">
        <w:r w:rsidR="0083474D" w:rsidRPr="009C3A85">
          <w:rPr>
            <w:rStyle w:val="a4"/>
            <w:noProof/>
            <w:sz w:val="24"/>
            <w:szCs w:val="24"/>
            <w:lang w:val="ro-MD"/>
          </w:rPr>
          <w:t>Articolul 10. Libertatea de exprimare</w:t>
        </w:r>
        <w:r w:rsidR="0083474D" w:rsidRPr="009C3A85">
          <w:rPr>
            <w:noProof/>
            <w:webHidden/>
            <w:sz w:val="24"/>
            <w:szCs w:val="24"/>
            <w:lang w:val="ro-MD"/>
          </w:rPr>
          <w:tab/>
        </w:r>
        <w:r w:rsidR="0083474D" w:rsidRPr="009C3A85">
          <w:rPr>
            <w:noProof/>
            <w:webHidden/>
            <w:sz w:val="24"/>
            <w:szCs w:val="24"/>
            <w:lang w:val="ro-MD"/>
          </w:rPr>
          <w:fldChar w:fldCharType="begin"/>
        </w:r>
        <w:r w:rsidR="0083474D" w:rsidRPr="009C3A85">
          <w:rPr>
            <w:noProof/>
            <w:webHidden/>
            <w:sz w:val="24"/>
            <w:szCs w:val="24"/>
            <w:lang w:val="ro-MD"/>
          </w:rPr>
          <w:instrText xml:space="preserve"> PAGEREF _Toc213590711 \h </w:instrText>
        </w:r>
        <w:r w:rsidR="0083474D" w:rsidRPr="009C3A85">
          <w:rPr>
            <w:noProof/>
            <w:webHidden/>
            <w:sz w:val="24"/>
            <w:szCs w:val="24"/>
            <w:lang w:val="ro-MD"/>
          </w:rPr>
        </w:r>
        <w:r w:rsidR="0083474D" w:rsidRPr="009C3A85">
          <w:rPr>
            <w:noProof/>
            <w:webHidden/>
            <w:sz w:val="24"/>
            <w:szCs w:val="24"/>
            <w:lang w:val="ro-MD"/>
          </w:rPr>
          <w:fldChar w:fldCharType="separate"/>
        </w:r>
        <w:r w:rsidR="00F32292">
          <w:rPr>
            <w:noProof/>
            <w:webHidden/>
            <w:sz w:val="24"/>
            <w:szCs w:val="24"/>
            <w:lang w:val="ro-MD"/>
          </w:rPr>
          <w:t>24</w:t>
        </w:r>
        <w:r w:rsidR="0083474D" w:rsidRPr="009C3A85">
          <w:rPr>
            <w:noProof/>
            <w:webHidden/>
            <w:sz w:val="24"/>
            <w:szCs w:val="24"/>
            <w:lang w:val="ro-MD"/>
          </w:rPr>
          <w:fldChar w:fldCharType="end"/>
        </w:r>
      </w:hyperlink>
    </w:p>
    <w:p w14:paraId="2F61F13D" w14:textId="17AEB1CB" w:rsidR="0083474D" w:rsidRPr="009C3A85" w:rsidRDefault="00456145">
      <w:pPr>
        <w:pStyle w:val="11"/>
        <w:rPr>
          <w:rFonts w:asciiTheme="minorHAnsi" w:hAnsiTheme="minorHAnsi" w:cstheme="minorBidi"/>
          <w:b w:val="0"/>
          <w:bCs w:val="0"/>
          <w:noProof/>
          <w:sz w:val="24"/>
          <w:szCs w:val="24"/>
          <w:lang w:val="ro-MD"/>
        </w:rPr>
      </w:pPr>
      <w:hyperlink w:anchor="_Toc213590712" w:history="1">
        <w:r w:rsidR="0083474D" w:rsidRPr="009C3A85">
          <w:rPr>
            <w:rStyle w:val="a4"/>
            <w:noProof/>
            <w:sz w:val="24"/>
            <w:szCs w:val="24"/>
            <w:lang w:val="ro-MD"/>
          </w:rPr>
          <w:t>Articolul 11. Libertatea de întrunire şi de asociere</w:t>
        </w:r>
        <w:r w:rsidR="0083474D" w:rsidRPr="009C3A85">
          <w:rPr>
            <w:noProof/>
            <w:webHidden/>
            <w:sz w:val="24"/>
            <w:szCs w:val="24"/>
            <w:lang w:val="ro-MD"/>
          </w:rPr>
          <w:tab/>
        </w:r>
        <w:r w:rsidR="0083474D" w:rsidRPr="009C3A85">
          <w:rPr>
            <w:noProof/>
            <w:webHidden/>
            <w:sz w:val="24"/>
            <w:szCs w:val="24"/>
            <w:lang w:val="ro-MD"/>
          </w:rPr>
          <w:fldChar w:fldCharType="begin"/>
        </w:r>
        <w:r w:rsidR="0083474D" w:rsidRPr="009C3A85">
          <w:rPr>
            <w:noProof/>
            <w:webHidden/>
            <w:sz w:val="24"/>
            <w:szCs w:val="24"/>
            <w:lang w:val="ro-MD"/>
          </w:rPr>
          <w:instrText xml:space="preserve"> PAGEREF _Toc213590712 \h </w:instrText>
        </w:r>
        <w:r w:rsidR="0083474D" w:rsidRPr="009C3A85">
          <w:rPr>
            <w:noProof/>
            <w:webHidden/>
            <w:sz w:val="24"/>
            <w:szCs w:val="24"/>
            <w:lang w:val="ro-MD"/>
          </w:rPr>
        </w:r>
        <w:r w:rsidR="0083474D" w:rsidRPr="009C3A85">
          <w:rPr>
            <w:noProof/>
            <w:webHidden/>
            <w:sz w:val="24"/>
            <w:szCs w:val="24"/>
            <w:lang w:val="ro-MD"/>
          </w:rPr>
          <w:fldChar w:fldCharType="separate"/>
        </w:r>
        <w:r w:rsidR="00F32292">
          <w:rPr>
            <w:noProof/>
            <w:webHidden/>
            <w:sz w:val="24"/>
            <w:szCs w:val="24"/>
            <w:lang w:val="ro-MD"/>
          </w:rPr>
          <w:t>33</w:t>
        </w:r>
        <w:r w:rsidR="0083474D" w:rsidRPr="009C3A85">
          <w:rPr>
            <w:noProof/>
            <w:webHidden/>
            <w:sz w:val="24"/>
            <w:szCs w:val="24"/>
            <w:lang w:val="ro-MD"/>
          </w:rPr>
          <w:fldChar w:fldCharType="end"/>
        </w:r>
      </w:hyperlink>
    </w:p>
    <w:p w14:paraId="5B708BF9" w14:textId="01A82771" w:rsidR="0083474D" w:rsidRPr="009C3A85" w:rsidRDefault="00456145">
      <w:pPr>
        <w:pStyle w:val="11"/>
        <w:rPr>
          <w:rFonts w:asciiTheme="minorHAnsi" w:hAnsiTheme="minorHAnsi" w:cstheme="minorBidi"/>
          <w:b w:val="0"/>
          <w:bCs w:val="0"/>
          <w:noProof/>
          <w:sz w:val="24"/>
          <w:szCs w:val="24"/>
          <w:lang w:val="ro-MD"/>
        </w:rPr>
      </w:pPr>
      <w:hyperlink w:anchor="_Toc213590713" w:history="1">
        <w:r w:rsidR="0083474D" w:rsidRPr="009C3A85">
          <w:rPr>
            <w:rStyle w:val="a4"/>
            <w:noProof/>
            <w:sz w:val="24"/>
            <w:szCs w:val="24"/>
            <w:lang w:val="ro-MD"/>
          </w:rPr>
          <w:t>Protocolul nr. 1 Articolul 1. Protecția proprietății</w:t>
        </w:r>
        <w:r w:rsidR="0083474D" w:rsidRPr="009C3A85">
          <w:rPr>
            <w:noProof/>
            <w:webHidden/>
            <w:sz w:val="24"/>
            <w:szCs w:val="24"/>
            <w:lang w:val="ro-MD"/>
          </w:rPr>
          <w:tab/>
        </w:r>
        <w:r w:rsidR="0083474D" w:rsidRPr="009C3A85">
          <w:rPr>
            <w:noProof/>
            <w:webHidden/>
            <w:sz w:val="24"/>
            <w:szCs w:val="24"/>
            <w:lang w:val="ro-MD"/>
          </w:rPr>
          <w:fldChar w:fldCharType="begin"/>
        </w:r>
        <w:r w:rsidR="0083474D" w:rsidRPr="009C3A85">
          <w:rPr>
            <w:noProof/>
            <w:webHidden/>
            <w:sz w:val="24"/>
            <w:szCs w:val="24"/>
            <w:lang w:val="ro-MD"/>
          </w:rPr>
          <w:instrText xml:space="preserve"> PAGEREF _Toc213590713 \h </w:instrText>
        </w:r>
        <w:r w:rsidR="0083474D" w:rsidRPr="009C3A85">
          <w:rPr>
            <w:noProof/>
            <w:webHidden/>
            <w:sz w:val="24"/>
            <w:szCs w:val="24"/>
            <w:lang w:val="ro-MD"/>
          </w:rPr>
        </w:r>
        <w:r w:rsidR="0083474D" w:rsidRPr="009C3A85">
          <w:rPr>
            <w:noProof/>
            <w:webHidden/>
            <w:sz w:val="24"/>
            <w:szCs w:val="24"/>
            <w:lang w:val="ro-MD"/>
          </w:rPr>
          <w:fldChar w:fldCharType="separate"/>
        </w:r>
        <w:r w:rsidR="00F32292">
          <w:rPr>
            <w:noProof/>
            <w:webHidden/>
            <w:sz w:val="24"/>
            <w:szCs w:val="24"/>
            <w:lang w:val="ro-MD"/>
          </w:rPr>
          <w:t>36</w:t>
        </w:r>
        <w:r w:rsidR="0083474D" w:rsidRPr="009C3A85">
          <w:rPr>
            <w:noProof/>
            <w:webHidden/>
            <w:sz w:val="24"/>
            <w:szCs w:val="24"/>
            <w:lang w:val="ro-MD"/>
          </w:rPr>
          <w:fldChar w:fldCharType="end"/>
        </w:r>
      </w:hyperlink>
    </w:p>
    <w:p w14:paraId="07B6AEFF" w14:textId="6546EB46" w:rsidR="0083474D" w:rsidRPr="009C3A85" w:rsidRDefault="00456145">
      <w:pPr>
        <w:pStyle w:val="11"/>
        <w:rPr>
          <w:rFonts w:asciiTheme="minorHAnsi" w:hAnsiTheme="minorHAnsi" w:cstheme="minorBidi"/>
          <w:b w:val="0"/>
          <w:bCs w:val="0"/>
          <w:noProof/>
          <w:sz w:val="24"/>
          <w:szCs w:val="24"/>
          <w:lang w:val="ro-MD"/>
        </w:rPr>
      </w:pPr>
      <w:hyperlink w:anchor="_Toc213590714" w:history="1">
        <w:r w:rsidR="0083474D" w:rsidRPr="009C3A85">
          <w:rPr>
            <w:rStyle w:val="a4"/>
            <w:noProof/>
            <w:sz w:val="24"/>
            <w:szCs w:val="24"/>
            <w:lang w:val="ro-MD"/>
          </w:rPr>
          <w:t>Protocolul nr. 1 Articolul 3. Dreptul la alegeri libere</w:t>
        </w:r>
        <w:r w:rsidR="0083474D" w:rsidRPr="009C3A85">
          <w:rPr>
            <w:noProof/>
            <w:webHidden/>
            <w:sz w:val="24"/>
            <w:szCs w:val="24"/>
            <w:lang w:val="ro-MD"/>
          </w:rPr>
          <w:tab/>
        </w:r>
        <w:r w:rsidR="0083474D" w:rsidRPr="009C3A85">
          <w:rPr>
            <w:noProof/>
            <w:webHidden/>
            <w:sz w:val="24"/>
            <w:szCs w:val="24"/>
            <w:lang w:val="ro-MD"/>
          </w:rPr>
          <w:fldChar w:fldCharType="begin"/>
        </w:r>
        <w:r w:rsidR="0083474D" w:rsidRPr="009C3A85">
          <w:rPr>
            <w:noProof/>
            <w:webHidden/>
            <w:sz w:val="24"/>
            <w:szCs w:val="24"/>
            <w:lang w:val="ro-MD"/>
          </w:rPr>
          <w:instrText xml:space="preserve"> PAGEREF _Toc213590714 \h </w:instrText>
        </w:r>
        <w:r w:rsidR="0083474D" w:rsidRPr="009C3A85">
          <w:rPr>
            <w:noProof/>
            <w:webHidden/>
            <w:sz w:val="24"/>
            <w:szCs w:val="24"/>
            <w:lang w:val="ro-MD"/>
          </w:rPr>
        </w:r>
        <w:r w:rsidR="0083474D" w:rsidRPr="009C3A85">
          <w:rPr>
            <w:noProof/>
            <w:webHidden/>
            <w:sz w:val="24"/>
            <w:szCs w:val="24"/>
            <w:lang w:val="ro-MD"/>
          </w:rPr>
          <w:fldChar w:fldCharType="separate"/>
        </w:r>
        <w:r w:rsidR="00F32292">
          <w:rPr>
            <w:noProof/>
            <w:webHidden/>
            <w:sz w:val="24"/>
            <w:szCs w:val="24"/>
            <w:lang w:val="ro-MD"/>
          </w:rPr>
          <w:t>36</w:t>
        </w:r>
        <w:r w:rsidR="0083474D" w:rsidRPr="009C3A85">
          <w:rPr>
            <w:noProof/>
            <w:webHidden/>
            <w:sz w:val="24"/>
            <w:szCs w:val="24"/>
            <w:lang w:val="ro-MD"/>
          </w:rPr>
          <w:fldChar w:fldCharType="end"/>
        </w:r>
      </w:hyperlink>
    </w:p>
    <w:p w14:paraId="06641075" w14:textId="23E07AA2" w:rsidR="0083474D" w:rsidRPr="009C3A85" w:rsidRDefault="00456145">
      <w:pPr>
        <w:pStyle w:val="11"/>
        <w:rPr>
          <w:rFonts w:asciiTheme="minorHAnsi" w:hAnsiTheme="minorHAnsi" w:cstheme="minorBidi"/>
          <w:b w:val="0"/>
          <w:bCs w:val="0"/>
          <w:noProof/>
          <w:sz w:val="24"/>
          <w:szCs w:val="24"/>
          <w:lang w:val="ro-MD"/>
        </w:rPr>
      </w:pPr>
      <w:hyperlink w:anchor="_Toc213590715" w:history="1">
        <w:r w:rsidR="0083474D" w:rsidRPr="009C3A85">
          <w:rPr>
            <w:rStyle w:val="a4"/>
            <w:noProof/>
            <w:sz w:val="24"/>
            <w:szCs w:val="24"/>
            <w:lang w:val="ro-MD"/>
          </w:rPr>
          <w:t>Protocolul nr. 4 Articolul 2. Libertatea de circulație</w:t>
        </w:r>
        <w:r w:rsidR="0083474D" w:rsidRPr="009C3A85">
          <w:rPr>
            <w:noProof/>
            <w:webHidden/>
            <w:sz w:val="24"/>
            <w:szCs w:val="24"/>
            <w:lang w:val="ro-MD"/>
          </w:rPr>
          <w:tab/>
        </w:r>
        <w:r w:rsidR="0083474D" w:rsidRPr="009C3A85">
          <w:rPr>
            <w:noProof/>
            <w:webHidden/>
            <w:sz w:val="24"/>
            <w:szCs w:val="24"/>
            <w:lang w:val="ro-MD"/>
          </w:rPr>
          <w:fldChar w:fldCharType="begin"/>
        </w:r>
        <w:r w:rsidR="0083474D" w:rsidRPr="009C3A85">
          <w:rPr>
            <w:noProof/>
            <w:webHidden/>
            <w:sz w:val="24"/>
            <w:szCs w:val="24"/>
            <w:lang w:val="ro-MD"/>
          </w:rPr>
          <w:instrText xml:space="preserve"> PAGEREF _Toc213590715 \h </w:instrText>
        </w:r>
        <w:r w:rsidR="0083474D" w:rsidRPr="009C3A85">
          <w:rPr>
            <w:noProof/>
            <w:webHidden/>
            <w:sz w:val="24"/>
            <w:szCs w:val="24"/>
            <w:lang w:val="ro-MD"/>
          </w:rPr>
        </w:r>
        <w:r w:rsidR="0083474D" w:rsidRPr="009C3A85">
          <w:rPr>
            <w:noProof/>
            <w:webHidden/>
            <w:sz w:val="24"/>
            <w:szCs w:val="24"/>
            <w:lang w:val="ro-MD"/>
          </w:rPr>
          <w:fldChar w:fldCharType="separate"/>
        </w:r>
        <w:r w:rsidR="00F32292">
          <w:rPr>
            <w:noProof/>
            <w:webHidden/>
            <w:sz w:val="24"/>
            <w:szCs w:val="24"/>
            <w:lang w:val="ro-MD"/>
          </w:rPr>
          <w:t>37</w:t>
        </w:r>
        <w:r w:rsidR="0083474D" w:rsidRPr="009C3A85">
          <w:rPr>
            <w:noProof/>
            <w:webHidden/>
            <w:sz w:val="24"/>
            <w:szCs w:val="24"/>
            <w:lang w:val="ro-MD"/>
          </w:rPr>
          <w:fldChar w:fldCharType="end"/>
        </w:r>
      </w:hyperlink>
    </w:p>
    <w:p w14:paraId="47D8053C" w14:textId="5FF60430" w:rsidR="0083474D" w:rsidRPr="009C3A85" w:rsidRDefault="00456145">
      <w:pPr>
        <w:pStyle w:val="11"/>
        <w:rPr>
          <w:rFonts w:asciiTheme="minorHAnsi" w:hAnsiTheme="minorHAnsi" w:cstheme="minorBidi"/>
          <w:b w:val="0"/>
          <w:bCs w:val="0"/>
          <w:noProof/>
          <w:sz w:val="24"/>
          <w:szCs w:val="24"/>
          <w:lang w:val="ro-MD"/>
        </w:rPr>
      </w:pPr>
      <w:hyperlink w:anchor="_Toc213590716" w:history="1">
        <w:r w:rsidR="0083474D" w:rsidRPr="009C3A85">
          <w:rPr>
            <w:rStyle w:val="a4"/>
            <w:noProof/>
            <w:sz w:val="24"/>
            <w:szCs w:val="24"/>
            <w:lang w:val="ro-MD"/>
          </w:rPr>
          <w:t>Protocolul nr. 7 Articolul 1. Garanţiile procedurale în cazul expulzărilor de străini</w:t>
        </w:r>
        <w:r w:rsidR="0083474D" w:rsidRPr="009C3A85">
          <w:rPr>
            <w:noProof/>
            <w:webHidden/>
            <w:sz w:val="24"/>
            <w:szCs w:val="24"/>
            <w:lang w:val="ro-MD"/>
          </w:rPr>
          <w:tab/>
        </w:r>
        <w:r w:rsidR="0083474D" w:rsidRPr="009C3A85">
          <w:rPr>
            <w:noProof/>
            <w:webHidden/>
            <w:sz w:val="24"/>
            <w:szCs w:val="24"/>
            <w:lang w:val="ro-MD"/>
          </w:rPr>
          <w:fldChar w:fldCharType="begin"/>
        </w:r>
        <w:r w:rsidR="0083474D" w:rsidRPr="009C3A85">
          <w:rPr>
            <w:noProof/>
            <w:webHidden/>
            <w:sz w:val="24"/>
            <w:szCs w:val="24"/>
            <w:lang w:val="ro-MD"/>
          </w:rPr>
          <w:instrText xml:space="preserve"> PAGEREF _Toc213590716 \h </w:instrText>
        </w:r>
        <w:r w:rsidR="0083474D" w:rsidRPr="009C3A85">
          <w:rPr>
            <w:noProof/>
            <w:webHidden/>
            <w:sz w:val="24"/>
            <w:szCs w:val="24"/>
            <w:lang w:val="ro-MD"/>
          </w:rPr>
        </w:r>
        <w:r w:rsidR="0083474D" w:rsidRPr="009C3A85">
          <w:rPr>
            <w:noProof/>
            <w:webHidden/>
            <w:sz w:val="24"/>
            <w:szCs w:val="24"/>
            <w:lang w:val="ro-MD"/>
          </w:rPr>
          <w:fldChar w:fldCharType="separate"/>
        </w:r>
        <w:r w:rsidR="00F32292">
          <w:rPr>
            <w:noProof/>
            <w:webHidden/>
            <w:sz w:val="24"/>
            <w:szCs w:val="24"/>
            <w:lang w:val="ro-MD"/>
          </w:rPr>
          <w:t>39</w:t>
        </w:r>
        <w:r w:rsidR="0083474D" w:rsidRPr="009C3A85">
          <w:rPr>
            <w:noProof/>
            <w:webHidden/>
            <w:sz w:val="24"/>
            <w:szCs w:val="24"/>
            <w:lang w:val="ro-MD"/>
          </w:rPr>
          <w:fldChar w:fldCharType="end"/>
        </w:r>
      </w:hyperlink>
    </w:p>
    <w:p w14:paraId="454DB97F" w14:textId="601318FB" w:rsidR="0083474D" w:rsidRPr="009C3A85" w:rsidRDefault="00456145">
      <w:pPr>
        <w:pStyle w:val="11"/>
        <w:rPr>
          <w:rFonts w:asciiTheme="minorHAnsi" w:hAnsiTheme="minorHAnsi" w:cstheme="minorBidi"/>
          <w:b w:val="0"/>
          <w:bCs w:val="0"/>
          <w:noProof/>
          <w:sz w:val="24"/>
          <w:szCs w:val="24"/>
          <w:lang w:val="ro-MD"/>
        </w:rPr>
      </w:pPr>
      <w:hyperlink w:anchor="_Toc213590717" w:history="1">
        <w:r w:rsidR="0083474D" w:rsidRPr="009C3A85">
          <w:rPr>
            <w:rStyle w:val="a4"/>
            <w:noProof/>
            <w:sz w:val="24"/>
            <w:szCs w:val="24"/>
            <w:lang w:val="ro-MD"/>
          </w:rPr>
          <w:t>Protocolul nr. 7 Articolul 2. Dreptul la două grade de jurisdicţie în materie penală</w:t>
        </w:r>
        <w:r w:rsidR="0083474D" w:rsidRPr="009C3A85">
          <w:rPr>
            <w:noProof/>
            <w:webHidden/>
            <w:sz w:val="24"/>
            <w:szCs w:val="24"/>
            <w:lang w:val="ro-MD"/>
          </w:rPr>
          <w:tab/>
        </w:r>
        <w:r w:rsidR="0083474D" w:rsidRPr="009C3A85">
          <w:rPr>
            <w:noProof/>
            <w:webHidden/>
            <w:sz w:val="24"/>
            <w:szCs w:val="24"/>
            <w:lang w:val="ro-MD"/>
          </w:rPr>
          <w:fldChar w:fldCharType="begin"/>
        </w:r>
        <w:r w:rsidR="0083474D" w:rsidRPr="009C3A85">
          <w:rPr>
            <w:noProof/>
            <w:webHidden/>
            <w:sz w:val="24"/>
            <w:szCs w:val="24"/>
            <w:lang w:val="ro-MD"/>
          </w:rPr>
          <w:instrText xml:space="preserve"> PAGEREF _Toc213590717 \h </w:instrText>
        </w:r>
        <w:r w:rsidR="0083474D" w:rsidRPr="009C3A85">
          <w:rPr>
            <w:noProof/>
            <w:webHidden/>
            <w:sz w:val="24"/>
            <w:szCs w:val="24"/>
            <w:lang w:val="ro-MD"/>
          </w:rPr>
        </w:r>
        <w:r w:rsidR="0083474D" w:rsidRPr="009C3A85">
          <w:rPr>
            <w:noProof/>
            <w:webHidden/>
            <w:sz w:val="24"/>
            <w:szCs w:val="24"/>
            <w:lang w:val="ro-MD"/>
          </w:rPr>
          <w:fldChar w:fldCharType="separate"/>
        </w:r>
        <w:r w:rsidR="00F32292">
          <w:rPr>
            <w:noProof/>
            <w:webHidden/>
            <w:sz w:val="24"/>
            <w:szCs w:val="24"/>
            <w:lang w:val="ro-MD"/>
          </w:rPr>
          <w:t>40</w:t>
        </w:r>
        <w:r w:rsidR="0083474D" w:rsidRPr="009C3A85">
          <w:rPr>
            <w:noProof/>
            <w:webHidden/>
            <w:sz w:val="24"/>
            <w:szCs w:val="24"/>
            <w:lang w:val="ro-MD"/>
          </w:rPr>
          <w:fldChar w:fldCharType="end"/>
        </w:r>
      </w:hyperlink>
    </w:p>
    <w:p w14:paraId="51D209CA" w14:textId="6C2FAEEA" w:rsidR="0083474D" w:rsidRPr="009C3A85" w:rsidRDefault="00456145">
      <w:pPr>
        <w:pStyle w:val="11"/>
        <w:rPr>
          <w:rFonts w:asciiTheme="minorHAnsi" w:hAnsiTheme="minorHAnsi" w:cstheme="minorBidi"/>
          <w:b w:val="0"/>
          <w:bCs w:val="0"/>
          <w:noProof/>
          <w:sz w:val="22"/>
          <w:szCs w:val="22"/>
          <w:lang w:val="ro-MD"/>
        </w:rPr>
      </w:pPr>
      <w:hyperlink w:anchor="_Toc213590718" w:history="1">
        <w:r w:rsidR="0083474D" w:rsidRPr="009C3A85">
          <w:rPr>
            <w:rStyle w:val="a4"/>
            <w:noProof/>
            <w:sz w:val="24"/>
            <w:szCs w:val="24"/>
            <w:lang w:val="ro-MD"/>
          </w:rPr>
          <w:t>Protocolul nr. 12 Articolul 1. Interzicerea generală a discriminării</w:t>
        </w:r>
        <w:r w:rsidR="0083474D" w:rsidRPr="009C3A85">
          <w:rPr>
            <w:noProof/>
            <w:webHidden/>
            <w:sz w:val="24"/>
            <w:szCs w:val="24"/>
            <w:lang w:val="ro-MD"/>
          </w:rPr>
          <w:tab/>
        </w:r>
        <w:r w:rsidR="0083474D" w:rsidRPr="009C3A85">
          <w:rPr>
            <w:noProof/>
            <w:webHidden/>
            <w:sz w:val="24"/>
            <w:szCs w:val="24"/>
            <w:lang w:val="ro-MD"/>
          </w:rPr>
          <w:fldChar w:fldCharType="begin"/>
        </w:r>
        <w:r w:rsidR="0083474D" w:rsidRPr="009C3A85">
          <w:rPr>
            <w:noProof/>
            <w:webHidden/>
            <w:sz w:val="24"/>
            <w:szCs w:val="24"/>
            <w:lang w:val="ro-MD"/>
          </w:rPr>
          <w:instrText xml:space="preserve"> PAGEREF _Toc213590718 \h </w:instrText>
        </w:r>
        <w:r w:rsidR="0083474D" w:rsidRPr="009C3A85">
          <w:rPr>
            <w:noProof/>
            <w:webHidden/>
            <w:sz w:val="24"/>
            <w:szCs w:val="24"/>
            <w:lang w:val="ro-MD"/>
          </w:rPr>
        </w:r>
        <w:r w:rsidR="0083474D" w:rsidRPr="009C3A85">
          <w:rPr>
            <w:noProof/>
            <w:webHidden/>
            <w:sz w:val="24"/>
            <w:szCs w:val="24"/>
            <w:lang w:val="ro-MD"/>
          </w:rPr>
          <w:fldChar w:fldCharType="separate"/>
        </w:r>
        <w:r w:rsidR="00F32292">
          <w:rPr>
            <w:noProof/>
            <w:webHidden/>
            <w:sz w:val="24"/>
            <w:szCs w:val="24"/>
            <w:lang w:val="ro-MD"/>
          </w:rPr>
          <w:t>41</w:t>
        </w:r>
        <w:r w:rsidR="0083474D" w:rsidRPr="009C3A85">
          <w:rPr>
            <w:noProof/>
            <w:webHidden/>
            <w:sz w:val="24"/>
            <w:szCs w:val="24"/>
            <w:lang w:val="ro-MD"/>
          </w:rPr>
          <w:fldChar w:fldCharType="end"/>
        </w:r>
      </w:hyperlink>
    </w:p>
    <w:p w14:paraId="096C4061" w14:textId="01CE5D42" w:rsidR="00A7210F" w:rsidRPr="009C3A85" w:rsidRDefault="003A65EE" w:rsidP="00645AC9">
      <w:pPr>
        <w:rPr>
          <w:lang w:val="ro-MD"/>
        </w:rPr>
      </w:pPr>
      <w:r w:rsidRPr="009C3A85">
        <w:rPr>
          <w:rFonts w:asciiTheme="majorBidi" w:hAnsiTheme="majorBidi" w:cstheme="majorBidi"/>
          <w:lang w:val="ro-MD"/>
        </w:rPr>
        <w:fldChar w:fldCharType="end"/>
      </w:r>
      <w:r w:rsidR="00A7210F" w:rsidRPr="009C3A85">
        <w:rPr>
          <w:lang w:val="ro-MD"/>
        </w:rPr>
        <w:br w:type="page"/>
      </w:r>
    </w:p>
    <w:tbl>
      <w:tblPr>
        <w:tblStyle w:val="a3"/>
        <w:tblW w:w="0" w:type="auto"/>
        <w:tblLayout w:type="fixed"/>
        <w:tblLook w:val="04A0" w:firstRow="1" w:lastRow="0" w:firstColumn="1" w:lastColumn="0" w:noHBand="0" w:noVBand="1"/>
      </w:tblPr>
      <w:tblGrid>
        <w:gridCol w:w="1345"/>
        <w:gridCol w:w="1260"/>
        <w:gridCol w:w="2340"/>
        <w:gridCol w:w="7470"/>
        <w:gridCol w:w="1422"/>
      </w:tblGrid>
      <w:tr w:rsidR="00A208EE" w:rsidRPr="009C3A85" w14:paraId="3827FC26" w14:textId="77777777" w:rsidTr="0038457E">
        <w:tc>
          <w:tcPr>
            <w:tcW w:w="1345" w:type="dxa"/>
            <w:shd w:val="clear" w:color="auto" w:fill="E6E6FA"/>
            <w:vAlign w:val="center"/>
          </w:tcPr>
          <w:p w14:paraId="0F7839A5" w14:textId="5D6152D1" w:rsidR="00A208EE" w:rsidRPr="009C3A85" w:rsidRDefault="00A208EE" w:rsidP="00A208EE">
            <w:pPr>
              <w:jc w:val="center"/>
              <w:rPr>
                <w:rFonts w:asciiTheme="majorBidi" w:hAnsiTheme="majorBidi" w:cstheme="majorBidi"/>
                <w:lang w:val="ro-MD"/>
              </w:rPr>
            </w:pPr>
            <w:r w:rsidRPr="009C3A85">
              <w:rPr>
                <w:rFonts w:asciiTheme="majorBidi" w:hAnsiTheme="majorBidi" w:cstheme="majorBidi"/>
                <w:b/>
                <w:bCs/>
                <w:lang w:val="ro-MD"/>
              </w:rPr>
              <w:lastRenderedPageBreak/>
              <w:t>Art.</w:t>
            </w:r>
          </w:p>
        </w:tc>
        <w:tc>
          <w:tcPr>
            <w:tcW w:w="1260" w:type="dxa"/>
            <w:shd w:val="clear" w:color="auto" w:fill="E6E6FA"/>
            <w:vAlign w:val="center"/>
          </w:tcPr>
          <w:p w14:paraId="12483587" w14:textId="3CD19236" w:rsidR="00A208EE" w:rsidRPr="009C3A85" w:rsidRDefault="00A208EE" w:rsidP="008E4397">
            <w:pPr>
              <w:jc w:val="center"/>
              <w:rPr>
                <w:rFonts w:asciiTheme="majorBidi" w:hAnsiTheme="majorBidi" w:cstheme="majorBidi"/>
                <w:lang w:val="ro-MD"/>
              </w:rPr>
            </w:pPr>
            <w:r w:rsidRPr="009C3A85">
              <w:rPr>
                <w:rFonts w:asciiTheme="majorBidi" w:hAnsiTheme="majorBidi" w:cstheme="majorBidi"/>
                <w:b/>
                <w:bCs/>
                <w:lang w:val="ro-MD"/>
              </w:rPr>
              <w:t>Data/cauza</w:t>
            </w:r>
          </w:p>
        </w:tc>
        <w:tc>
          <w:tcPr>
            <w:tcW w:w="2340" w:type="dxa"/>
            <w:shd w:val="clear" w:color="auto" w:fill="E6E6FA"/>
            <w:vAlign w:val="center"/>
          </w:tcPr>
          <w:p w14:paraId="773A3390" w14:textId="7B585F11" w:rsidR="00A208EE" w:rsidRPr="009C3A85" w:rsidRDefault="008D177A" w:rsidP="008E4397">
            <w:pPr>
              <w:jc w:val="center"/>
              <w:rPr>
                <w:rFonts w:asciiTheme="majorBidi" w:hAnsiTheme="majorBidi" w:cstheme="majorBidi"/>
                <w:lang w:val="ro-MD"/>
              </w:rPr>
            </w:pPr>
            <w:r>
              <w:rPr>
                <w:rFonts w:asciiTheme="majorBidi" w:hAnsiTheme="majorBidi" w:cstheme="majorBidi"/>
                <w:b/>
                <w:bCs/>
                <w:lang w:val="ro-MD"/>
              </w:rPr>
              <w:t>Probleme ridicate</w:t>
            </w:r>
          </w:p>
        </w:tc>
        <w:tc>
          <w:tcPr>
            <w:tcW w:w="7470" w:type="dxa"/>
            <w:shd w:val="clear" w:color="auto" w:fill="E6E6FA"/>
            <w:vAlign w:val="center"/>
          </w:tcPr>
          <w:p w14:paraId="0ED90C02" w14:textId="73123D7A" w:rsidR="00A208EE" w:rsidRPr="009C3A85" w:rsidRDefault="00A208EE" w:rsidP="008E4397">
            <w:pPr>
              <w:jc w:val="center"/>
              <w:rPr>
                <w:rFonts w:asciiTheme="majorBidi" w:hAnsiTheme="majorBidi" w:cstheme="majorBidi"/>
                <w:lang w:val="ro-MD"/>
              </w:rPr>
            </w:pPr>
            <w:r w:rsidRPr="009C3A85">
              <w:rPr>
                <w:rFonts w:asciiTheme="majorBidi" w:hAnsiTheme="majorBidi" w:cstheme="majorBidi"/>
                <w:b/>
                <w:bCs/>
                <w:lang w:val="ro-MD"/>
              </w:rPr>
              <w:t>Extras din hotărâre</w:t>
            </w:r>
          </w:p>
        </w:tc>
        <w:tc>
          <w:tcPr>
            <w:tcW w:w="1422" w:type="dxa"/>
            <w:shd w:val="clear" w:color="auto" w:fill="E6E6FA"/>
            <w:vAlign w:val="center"/>
          </w:tcPr>
          <w:p w14:paraId="37AE6365" w14:textId="1DCD6BE8" w:rsidR="00A208EE" w:rsidRPr="009C3A85" w:rsidRDefault="00A208EE" w:rsidP="008E4397">
            <w:pPr>
              <w:jc w:val="center"/>
              <w:rPr>
                <w:rFonts w:asciiTheme="majorBidi" w:hAnsiTheme="majorBidi" w:cstheme="majorBidi"/>
                <w:lang w:val="ro-MD"/>
              </w:rPr>
            </w:pPr>
            <w:r w:rsidRPr="009C3A85">
              <w:rPr>
                <w:rFonts w:asciiTheme="majorBidi" w:hAnsiTheme="majorBidi" w:cstheme="majorBidi"/>
                <w:b/>
                <w:bCs/>
                <w:lang w:val="ro-MD"/>
              </w:rPr>
              <w:t>Aprecierea / satisfacție</w:t>
            </w:r>
          </w:p>
        </w:tc>
      </w:tr>
      <w:tr w:rsidR="00574DAB" w:rsidRPr="009C3A85" w14:paraId="03733C50" w14:textId="77777777" w:rsidTr="00C313B9">
        <w:tc>
          <w:tcPr>
            <w:tcW w:w="13837" w:type="dxa"/>
            <w:gridSpan w:val="5"/>
            <w:shd w:val="clear" w:color="auto" w:fill="FFFAFA"/>
          </w:tcPr>
          <w:p w14:paraId="570F5D18" w14:textId="33F5B364" w:rsidR="00574DAB" w:rsidRPr="009C3A85" w:rsidRDefault="00574DAB" w:rsidP="003A65EE">
            <w:pPr>
              <w:pStyle w:val="1"/>
              <w:outlineLvl w:val="0"/>
            </w:pPr>
            <w:bookmarkStart w:id="1" w:name="_Toc213590705"/>
            <w:r w:rsidRPr="009C3A85">
              <w:t>Articolul 2. Dreptul la viață</w:t>
            </w:r>
            <w:bookmarkEnd w:id="1"/>
          </w:p>
        </w:tc>
      </w:tr>
      <w:tr w:rsidR="00A208EE" w:rsidRPr="009C3A85" w14:paraId="23DB6EEA" w14:textId="77777777" w:rsidTr="0053552D">
        <w:tc>
          <w:tcPr>
            <w:tcW w:w="1345" w:type="dxa"/>
            <w:tcBorders>
              <w:bottom w:val="nil"/>
            </w:tcBorders>
            <w:shd w:val="clear" w:color="auto" w:fill="FFFFFF" w:themeFill="background1"/>
          </w:tcPr>
          <w:p w14:paraId="59F1CE61" w14:textId="77777777" w:rsidR="00A208EE" w:rsidRPr="009C3A85" w:rsidRDefault="00A208EE" w:rsidP="00EF6956">
            <w:pPr>
              <w:spacing w:line="276" w:lineRule="auto"/>
              <w:jc w:val="center"/>
              <w:rPr>
                <w:rFonts w:asciiTheme="majorBidi" w:hAnsiTheme="majorBidi" w:cstheme="majorBidi"/>
                <w:lang w:val="ro-MD"/>
              </w:rPr>
            </w:pPr>
            <w:r w:rsidRPr="009C3A85">
              <w:rPr>
                <w:rFonts w:asciiTheme="majorBidi" w:hAnsiTheme="majorBidi" w:cstheme="majorBidi"/>
                <w:lang w:val="ro-MD"/>
              </w:rPr>
              <w:t>2</w:t>
            </w:r>
          </w:p>
          <w:p w14:paraId="20ADF03D" w14:textId="0714B6D8" w:rsidR="007E1E9A" w:rsidRPr="007E1E9A" w:rsidRDefault="007E1E9A" w:rsidP="007E1E9A">
            <w:pPr>
              <w:spacing w:line="276" w:lineRule="auto"/>
              <w:jc w:val="center"/>
              <w:rPr>
                <w:rFonts w:asciiTheme="majorBidi" w:hAnsiTheme="majorBidi" w:cstheme="majorBidi"/>
                <w:lang w:val="en-US"/>
              </w:rPr>
            </w:pPr>
            <w:r>
              <w:rPr>
                <w:rFonts w:asciiTheme="majorBidi" w:hAnsiTheme="majorBidi" w:cstheme="majorBidi"/>
                <w:lang w:val="ro-MD"/>
              </w:rPr>
              <w:t>Obligații pozitive</w:t>
            </w:r>
            <w:r>
              <w:rPr>
                <w:rFonts w:asciiTheme="majorBidi" w:hAnsiTheme="majorBidi" w:cstheme="majorBidi"/>
                <w:lang w:val="en-US"/>
              </w:rPr>
              <w:t>:</w:t>
            </w:r>
          </w:p>
          <w:p w14:paraId="2A3A175F" w14:textId="6F476300" w:rsidR="007E1E9A" w:rsidRPr="009C3A85" w:rsidRDefault="0072429C" w:rsidP="007E1E9A">
            <w:pPr>
              <w:spacing w:line="276" w:lineRule="auto"/>
              <w:jc w:val="center"/>
              <w:rPr>
                <w:rFonts w:asciiTheme="majorBidi" w:hAnsiTheme="majorBidi" w:cstheme="majorBidi"/>
                <w:lang w:val="ro-MD"/>
              </w:rPr>
            </w:pPr>
            <w:r w:rsidRPr="009C3A85">
              <w:rPr>
                <w:rFonts w:asciiTheme="majorBidi" w:hAnsiTheme="majorBidi" w:cstheme="majorBidi"/>
                <w:lang w:val="ro-MD"/>
              </w:rPr>
              <w:t>Ancheta efectivă</w:t>
            </w:r>
          </w:p>
        </w:tc>
        <w:tc>
          <w:tcPr>
            <w:tcW w:w="1260" w:type="dxa"/>
            <w:tcBorders>
              <w:bottom w:val="nil"/>
            </w:tcBorders>
            <w:shd w:val="clear" w:color="auto" w:fill="FFFFFF" w:themeFill="background1"/>
          </w:tcPr>
          <w:p w14:paraId="119F4F30" w14:textId="4B704E1F" w:rsidR="00A208EE" w:rsidRPr="009C3A85" w:rsidRDefault="00A208EE" w:rsidP="00EF6956">
            <w:pPr>
              <w:spacing w:line="276" w:lineRule="auto"/>
              <w:jc w:val="center"/>
              <w:rPr>
                <w:rFonts w:asciiTheme="majorBidi" w:hAnsiTheme="majorBidi" w:cstheme="majorBidi"/>
                <w:lang w:val="ro-MD"/>
              </w:rPr>
            </w:pPr>
            <w:r w:rsidRPr="009C3A85">
              <w:rPr>
                <w:rFonts w:asciiTheme="majorBidi" w:hAnsiTheme="majorBidi" w:cstheme="majorBidi"/>
                <w:lang w:val="ro-MD"/>
              </w:rPr>
              <w:t>25.03.2025</w:t>
            </w:r>
            <w:r w:rsidRPr="009C3A85">
              <w:rPr>
                <w:rFonts w:asciiTheme="majorBidi" w:hAnsiTheme="majorBidi" w:cstheme="majorBidi"/>
                <w:lang w:val="ro-MD"/>
              </w:rPr>
              <w:br/>
            </w:r>
            <w:hyperlink r:id="rId9" w:history="1">
              <w:r w:rsidRPr="009C3A85">
                <w:rPr>
                  <w:rStyle w:val="a4"/>
                  <w:rFonts w:asciiTheme="majorBidi" w:hAnsiTheme="majorBidi" w:cstheme="majorBidi"/>
                  <w:lang w:val="ro-MD"/>
                </w:rPr>
                <w:t>Almukhlas și Al-Maliki c. Greciei</w:t>
              </w:r>
            </w:hyperlink>
          </w:p>
        </w:tc>
        <w:tc>
          <w:tcPr>
            <w:tcW w:w="2340" w:type="dxa"/>
            <w:tcBorders>
              <w:bottom w:val="nil"/>
            </w:tcBorders>
            <w:shd w:val="clear" w:color="auto" w:fill="FFFFFF" w:themeFill="background1"/>
          </w:tcPr>
          <w:p w14:paraId="27AD9657" w14:textId="57BDF4F8" w:rsidR="00A208EE" w:rsidRPr="009C3A85" w:rsidRDefault="00A208EE" w:rsidP="00060AF6">
            <w:pPr>
              <w:spacing w:line="276" w:lineRule="auto"/>
              <w:jc w:val="both"/>
              <w:rPr>
                <w:rFonts w:asciiTheme="majorBidi" w:hAnsiTheme="majorBidi" w:cstheme="majorBidi"/>
                <w:lang w:val="ro-MD"/>
              </w:rPr>
            </w:pPr>
            <w:r w:rsidRPr="009C3A85">
              <w:rPr>
                <w:rFonts w:asciiTheme="majorBidi" w:hAnsiTheme="majorBidi" w:cstheme="majorBidi"/>
                <w:lang w:val="ro-MD"/>
              </w:rPr>
              <w:t>(procedural) Ancheta efectivă; lipsa unei anchete independente, aprofundate și efective cu privire la decesul unui minor ascuns și lovit de un glonț destinat unuia dintre căpitanii unei ambarcațiuni care transporta ilegal migranți în timpul operațiunii de interceptare a acesteia; lacune ale anchetei care au condus, în special, la pierderea unor elemente de probă; ancheta care nu a stabilit circumstanțele exacte ale decesului și nu a identificat și, după caz, sancționat persoanele responsabile</w:t>
            </w:r>
          </w:p>
        </w:tc>
        <w:tc>
          <w:tcPr>
            <w:tcW w:w="7470" w:type="dxa"/>
            <w:tcBorders>
              <w:bottom w:val="nil"/>
            </w:tcBorders>
            <w:shd w:val="clear" w:color="auto" w:fill="FFFFFF" w:themeFill="background1"/>
          </w:tcPr>
          <w:p w14:paraId="19A02065" w14:textId="77777777" w:rsidR="004D229A" w:rsidRPr="009C3A85" w:rsidRDefault="004D229A" w:rsidP="004D229A">
            <w:pPr>
              <w:spacing w:line="276" w:lineRule="auto"/>
              <w:jc w:val="both"/>
              <w:rPr>
                <w:rFonts w:asciiTheme="majorBidi" w:hAnsiTheme="majorBidi" w:cstheme="majorBidi"/>
                <w:lang w:val="ro-MD"/>
              </w:rPr>
            </w:pPr>
            <w:r w:rsidRPr="009C3A85">
              <w:rPr>
                <w:rFonts w:asciiTheme="majorBidi" w:hAnsiTheme="majorBidi" w:cstheme="majorBidi"/>
                <w:lang w:val="ro-MD"/>
              </w:rPr>
              <w:t>96. Curtea observă, pe de o parte, că a fost inițiată o procedură penală împotriva cetățenilor turci I.S. și A.C., iar pe de altă parte, că două proceduri penale și una disciplinară au fost deschise împotriva lui V.M. De asemenea, Curtea reține că, potrivit reclamanților, întrucât V.M. era ofițer al pazei de coastă, procurorul de pe lângă tribunalul de primă instanță din Rodos nu era competent să examineze cauza. În această privință, nu revine Curții sarcina de a se pronunța asupra chestiunii competenței instanței care trebuia să examineze răspunderea penală a lui V.M., cu atât mai mult cu cât procurorul din Rodos a examinat cauza și a dispus clasarea acesteia. Curtea poate doar să analizeze dacă procedurile urmate în speță au corespuns cerinței de efectivitate a unei anchete.</w:t>
            </w:r>
          </w:p>
          <w:p w14:paraId="6B7BD936" w14:textId="3E13F504" w:rsidR="004D229A" w:rsidRPr="009C3A85" w:rsidRDefault="004D229A" w:rsidP="004D229A">
            <w:pPr>
              <w:spacing w:line="276" w:lineRule="auto"/>
              <w:jc w:val="both"/>
              <w:rPr>
                <w:rFonts w:asciiTheme="majorBidi" w:hAnsiTheme="majorBidi" w:cstheme="majorBidi"/>
                <w:lang w:val="ro-MD"/>
              </w:rPr>
            </w:pPr>
            <w:r w:rsidRPr="009C3A85">
              <w:rPr>
                <w:rFonts w:asciiTheme="majorBidi" w:hAnsiTheme="majorBidi" w:cstheme="majorBidi"/>
                <w:lang w:val="ro-MD"/>
              </w:rPr>
              <w:t>[...]</w:t>
            </w:r>
          </w:p>
          <w:p w14:paraId="546BFD5C" w14:textId="24FF987A" w:rsidR="004D229A" w:rsidRPr="009C3A85" w:rsidRDefault="004D229A" w:rsidP="00BD2CC3">
            <w:pPr>
              <w:spacing w:line="276" w:lineRule="auto"/>
              <w:jc w:val="both"/>
              <w:rPr>
                <w:rFonts w:asciiTheme="majorBidi" w:hAnsiTheme="majorBidi" w:cstheme="majorBidi"/>
                <w:lang w:val="ro-MD"/>
              </w:rPr>
            </w:pPr>
            <w:r w:rsidRPr="009C3A85">
              <w:rPr>
                <w:rFonts w:asciiTheme="majorBidi" w:hAnsiTheme="majorBidi" w:cstheme="majorBidi"/>
                <w:lang w:val="ro-MD"/>
              </w:rPr>
              <w:t xml:space="preserve">103. </w:t>
            </w:r>
            <w:r w:rsidR="006229DE" w:rsidRPr="009C3A85">
              <w:rPr>
                <w:rFonts w:asciiTheme="majorBidi" w:hAnsiTheme="majorBidi" w:cstheme="majorBidi"/>
                <w:lang w:val="ro-MD"/>
              </w:rPr>
              <w:t>[</w:t>
            </w:r>
            <w:r w:rsidRPr="009C3A85">
              <w:rPr>
                <w:rFonts w:asciiTheme="majorBidi" w:hAnsiTheme="majorBidi" w:cstheme="majorBidi"/>
                <w:lang w:val="ro-MD"/>
              </w:rPr>
              <w:t>C</w:t>
            </w:r>
            <w:r w:rsidR="006229DE" w:rsidRPr="009C3A85">
              <w:rPr>
                <w:rFonts w:asciiTheme="majorBidi" w:hAnsiTheme="majorBidi" w:cstheme="majorBidi"/>
                <w:lang w:val="ro-MD"/>
              </w:rPr>
              <w:t>]</w:t>
            </w:r>
            <w:r w:rsidRPr="009C3A85">
              <w:rPr>
                <w:rFonts w:asciiTheme="majorBidi" w:hAnsiTheme="majorBidi" w:cstheme="majorBidi"/>
                <w:lang w:val="ro-MD"/>
              </w:rPr>
              <w:t>urtea este nevoită să constate că ancheta desfășurată de autoritățile naționale a prezentat numeroase lacune care au dus, printre altele, la pierderea unor probe și care au afectat caracterul efectiv al anchetei, aceasta nepermițând, în special, stabilirea circumstanțelor exacte în care a survenit decesul lui Ameer Mokhlas și identificarea și — dacă era cazul — sancționarea persoanelor responsabile.</w:t>
            </w:r>
          </w:p>
          <w:p w14:paraId="496D6065" w14:textId="4DE3A2BD" w:rsidR="00A208EE" w:rsidRPr="009C3A85" w:rsidRDefault="004D229A" w:rsidP="004D229A">
            <w:pPr>
              <w:spacing w:line="276" w:lineRule="auto"/>
              <w:jc w:val="both"/>
              <w:rPr>
                <w:rFonts w:asciiTheme="majorBidi" w:hAnsiTheme="majorBidi" w:cstheme="majorBidi"/>
                <w:lang w:val="ro-MD"/>
              </w:rPr>
            </w:pPr>
            <w:r w:rsidRPr="009C3A85">
              <w:rPr>
                <w:rFonts w:asciiTheme="majorBidi" w:hAnsiTheme="majorBidi" w:cstheme="majorBidi"/>
                <w:lang w:val="ro-MD"/>
              </w:rPr>
              <w:t>104. Având în vedere cele de mai sus, Curtea consideră că nu este necesar să se pronunțe asupra altor deficiențe invocate ale procedurii în cauză și concluzionează că a avut loc o încălcare a articolului 2 din Convenție sub aspectul său procedural.</w:t>
            </w:r>
          </w:p>
        </w:tc>
        <w:tc>
          <w:tcPr>
            <w:tcW w:w="1422" w:type="dxa"/>
            <w:tcBorders>
              <w:bottom w:val="nil"/>
            </w:tcBorders>
            <w:shd w:val="clear" w:color="auto" w:fill="FFFFFF" w:themeFill="background1"/>
          </w:tcPr>
          <w:p w14:paraId="0417E5E7" w14:textId="5C2E9CCE" w:rsidR="00A208EE" w:rsidRPr="009C3A85" w:rsidRDefault="00A208EE" w:rsidP="00EF6956">
            <w:pPr>
              <w:spacing w:line="276" w:lineRule="auto"/>
              <w:rPr>
                <w:rFonts w:asciiTheme="majorBidi" w:hAnsiTheme="majorBidi" w:cstheme="majorBidi"/>
                <w:lang w:val="ro-MD"/>
              </w:rPr>
            </w:pPr>
            <w:r w:rsidRPr="009C3A85">
              <w:rPr>
                <w:rFonts w:asciiTheme="majorBidi" w:hAnsiTheme="majorBidi" w:cstheme="majorBidi"/>
                <w:lang w:val="ro-MD"/>
              </w:rPr>
              <w:t>80 000 EUR (moral)</w:t>
            </w:r>
          </w:p>
        </w:tc>
      </w:tr>
      <w:tr w:rsidR="00060AF6" w:rsidRPr="002904F1" w14:paraId="610CF757" w14:textId="77777777" w:rsidTr="0053552D">
        <w:tc>
          <w:tcPr>
            <w:tcW w:w="1345" w:type="dxa"/>
            <w:tcBorders>
              <w:top w:val="nil"/>
            </w:tcBorders>
            <w:shd w:val="clear" w:color="auto" w:fill="FFFFFF" w:themeFill="background1"/>
          </w:tcPr>
          <w:p w14:paraId="1B94AE23" w14:textId="4E08635F" w:rsidR="00060AF6" w:rsidRPr="007E1E9A" w:rsidRDefault="007E1E9A" w:rsidP="00EF6956">
            <w:pPr>
              <w:spacing w:line="276" w:lineRule="auto"/>
              <w:jc w:val="center"/>
              <w:rPr>
                <w:rFonts w:asciiTheme="majorBidi" w:hAnsiTheme="majorBidi" w:cstheme="majorBidi"/>
                <w:lang w:val="ro-RO"/>
              </w:rPr>
            </w:pPr>
            <w:r>
              <w:rPr>
                <w:rFonts w:asciiTheme="majorBidi" w:hAnsiTheme="majorBidi" w:cstheme="majorBidi"/>
                <w:lang w:val="ro-MD"/>
              </w:rPr>
              <w:t>Recurgerea la for</w:t>
            </w:r>
            <w:r>
              <w:rPr>
                <w:rFonts w:asciiTheme="majorBidi" w:hAnsiTheme="majorBidi" w:cstheme="majorBidi"/>
                <w:lang w:val="ro-RO"/>
              </w:rPr>
              <w:t xml:space="preserve">ța letală de </w:t>
            </w:r>
            <w:r>
              <w:rPr>
                <w:rFonts w:asciiTheme="majorBidi" w:hAnsiTheme="majorBidi" w:cstheme="majorBidi"/>
                <w:lang w:val="ro-RO"/>
              </w:rPr>
              <w:lastRenderedPageBreak/>
              <w:t>către agenții statului</w:t>
            </w:r>
          </w:p>
        </w:tc>
        <w:tc>
          <w:tcPr>
            <w:tcW w:w="1260" w:type="dxa"/>
            <w:tcBorders>
              <w:top w:val="nil"/>
            </w:tcBorders>
            <w:shd w:val="clear" w:color="auto" w:fill="FFFFFF" w:themeFill="background1"/>
          </w:tcPr>
          <w:p w14:paraId="31E93DD9" w14:textId="77777777" w:rsidR="00060AF6" w:rsidRPr="009C3A85" w:rsidRDefault="00060AF6" w:rsidP="00EF6956">
            <w:pPr>
              <w:spacing w:line="276" w:lineRule="auto"/>
              <w:jc w:val="center"/>
              <w:rPr>
                <w:rFonts w:asciiTheme="majorBidi" w:hAnsiTheme="majorBidi" w:cstheme="majorBidi"/>
                <w:lang w:val="ro-MD"/>
              </w:rPr>
            </w:pPr>
          </w:p>
        </w:tc>
        <w:tc>
          <w:tcPr>
            <w:tcW w:w="2340" w:type="dxa"/>
            <w:tcBorders>
              <w:top w:val="nil"/>
            </w:tcBorders>
            <w:shd w:val="clear" w:color="auto" w:fill="FFFFFF" w:themeFill="background1"/>
          </w:tcPr>
          <w:p w14:paraId="46793E5B" w14:textId="77777777" w:rsidR="00060AF6" w:rsidRPr="009C3A85" w:rsidRDefault="00060AF6" w:rsidP="00060AF6">
            <w:pPr>
              <w:spacing w:line="276" w:lineRule="auto"/>
              <w:jc w:val="both"/>
              <w:rPr>
                <w:rFonts w:asciiTheme="majorBidi" w:hAnsiTheme="majorBidi" w:cstheme="majorBidi"/>
                <w:lang w:val="ro-MD"/>
              </w:rPr>
            </w:pPr>
            <w:r w:rsidRPr="009C3A85">
              <w:rPr>
                <w:rFonts w:asciiTheme="majorBidi" w:hAnsiTheme="majorBidi" w:cstheme="majorBidi"/>
                <w:lang w:val="ro-MD"/>
              </w:rPr>
              <w:t xml:space="preserve">(material) Desfășurarea operațiunii de interceptare; paza de coastă care știa sau ar fi </w:t>
            </w:r>
            <w:r w:rsidRPr="009C3A85">
              <w:rPr>
                <w:rFonts w:asciiTheme="majorBidi" w:hAnsiTheme="majorBidi" w:cstheme="majorBidi"/>
                <w:lang w:val="ro-MD"/>
              </w:rPr>
              <w:lastRenderedPageBreak/>
              <w:t>trebuit să știe că nava transporta migranți, nefiind luată în considerare posibilitatea prezenței altor pasageri ascunși la bord; absența elementelor care să indice o pregătire specială a operațiunii, un control specific sau o evaluare a riscurilor decurgând din utilizarea armelor; operațiune de interceptare desfășurată fără a reduce la minimum recurgerea la forța letală și eventualele riscuri pentru viață</w:t>
            </w:r>
          </w:p>
          <w:p w14:paraId="5BF66C19" w14:textId="09941BD3" w:rsidR="00060AF6" w:rsidRPr="009C3A85" w:rsidRDefault="00060AF6" w:rsidP="0072429C">
            <w:pPr>
              <w:spacing w:line="276" w:lineRule="auto"/>
              <w:jc w:val="both"/>
              <w:rPr>
                <w:rFonts w:asciiTheme="majorBidi" w:hAnsiTheme="majorBidi" w:cstheme="majorBidi"/>
                <w:lang w:val="ro-MD"/>
              </w:rPr>
            </w:pPr>
            <w:r w:rsidRPr="009C3A85">
              <w:rPr>
                <w:rFonts w:asciiTheme="majorBidi" w:hAnsiTheme="majorBidi" w:cstheme="majorBidi"/>
                <w:lang w:val="ro-MD"/>
              </w:rPr>
              <w:t>Recurgerea la forță; lipsa elementelor suficiente pentru a stabili anumite fapte dincolo de orice bănuială rezonabilă; utilizarea unei forțe inutil excesive, nejustificată în circumstanțele cauzei</w:t>
            </w:r>
          </w:p>
        </w:tc>
        <w:tc>
          <w:tcPr>
            <w:tcW w:w="7470" w:type="dxa"/>
            <w:tcBorders>
              <w:top w:val="nil"/>
            </w:tcBorders>
            <w:shd w:val="clear" w:color="auto" w:fill="FFFFFF" w:themeFill="background1"/>
          </w:tcPr>
          <w:p w14:paraId="017F090F" w14:textId="3A5CB38E" w:rsidR="004546C0" w:rsidRPr="009C3A85" w:rsidRDefault="004546C0" w:rsidP="00DE04E4">
            <w:pPr>
              <w:spacing w:line="276" w:lineRule="auto"/>
              <w:jc w:val="both"/>
              <w:rPr>
                <w:rFonts w:asciiTheme="majorBidi" w:hAnsiTheme="majorBidi" w:cstheme="majorBidi"/>
                <w:lang w:val="ro-MD"/>
              </w:rPr>
            </w:pPr>
            <w:r w:rsidRPr="009C3A85">
              <w:rPr>
                <w:rFonts w:asciiTheme="majorBidi" w:hAnsiTheme="majorBidi" w:cstheme="majorBidi"/>
                <w:lang w:val="ro-MD"/>
              </w:rPr>
              <w:lastRenderedPageBreak/>
              <w:t xml:space="preserve">142. Curtea reamintește că, în cauzele care implică folosirea forței de către agenții statului, este adesea dificil de separat obligațiile negative de cele pozitive care revin statului. În cauze similare, Curtea a considerat adecvat să examineze pe rând următoarele trei aspecte: dacă statul pârât și-a respectat obligația de a institui un </w:t>
            </w:r>
            <w:r w:rsidRPr="009C3A85">
              <w:rPr>
                <w:rFonts w:asciiTheme="majorBidi" w:hAnsiTheme="majorBidi" w:cstheme="majorBidi"/>
                <w:lang w:val="ro-MD"/>
              </w:rPr>
              <w:lastRenderedPageBreak/>
              <w:t>cadru legislativ și administrativ adecvat privind folosirea forței de către garda de coastă; dacă operațiunea litigioasă a fost organizată în așa fel încât să reducă pe cât posibil riscurile de atingere aduse vieții rudei reclamanților; și, în final, dacă rana mortală suferită de aceasta a rezultat dintr-o utilizare a forței absolut necesară în sensul articolului 2 § 2 din Convenție.</w:t>
            </w:r>
          </w:p>
          <w:p w14:paraId="11612E33" w14:textId="394F281C" w:rsidR="004546C0" w:rsidRPr="009C3A85" w:rsidRDefault="004546C0" w:rsidP="00DE04E4">
            <w:pPr>
              <w:spacing w:line="276" w:lineRule="auto"/>
              <w:jc w:val="both"/>
              <w:rPr>
                <w:rFonts w:asciiTheme="majorBidi" w:hAnsiTheme="majorBidi" w:cstheme="majorBidi"/>
                <w:lang w:val="ro-MD"/>
              </w:rPr>
            </w:pPr>
            <w:r w:rsidRPr="009C3A85">
              <w:rPr>
                <w:rFonts w:asciiTheme="majorBidi" w:hAnsiTheme="majorBidi" w:cstheme="majorBidi"/>
                <w:lang w:val="ro-MD"/>
              </w:rPr>
              <w:t>143. Curtea observă că, în cererea lor, reclamanții nu s-au plâns de inadecvarea cadrului legislativ și administrativ aplicabil. Ea constată, de asemenea, că, în momentul comunicării cauzei Guvernului, nu a fost adresată nicio întrebare referitoare la acest cadru legislativ și administrativ. Totuși, reclamanții au prezentat ulterior argumente în acest sens. În special, ei susțin că Regulamentul din 2004 nu este specific operațiunilor de control al frontierelor și că, în speță, nu există un cadru clar și coerent. Un astfel de cadru este totuși necesar, afirmă aceștia, deoarece garda de coastă trebuie să știe în ce condiții utilizarea armelor este acceptabilă, colectarea informațiilor despre ambarcațiune fiind o etapă esențială chiar înainte de începerea operațiunii în cauză, precum și în ce condiții operațiunea de interceptare maritimă și arestarea traficanților trebuie să aibă loc sau să fie evitate. Ei adaugă că ofițerii trebuie să beneficieze de o instruire specifică pentru a gestiona asemenea situații, chiar și extreme. Curtea consideră că argumentele reclamanților se referă în principal la chestiunea dacă operațiunea litigioasă a fost organizată și condusă în mod adecvat și dacă folosirea forței a fost necesară și proporțională cu scopurile urmărite. În orice caz, Curtea a reținut într-o altă cauză că nu îi revine să se pronunțe in abstracto asupra compatibilității Regulamentului din 2004 cu Convenția, apreciind totodată că acest text oferă un cadru juridic prima facie adecvat în materie de utilizare a forței de către garda de coastă.</w:t>
            </w:r>
          </w:p>
          <w:p w14:paraId="2CC28E2B" w14:textId="546A587A" w:rsidR="00171EBF" w:rsidRPr="009C3A85" w:rsidRDefault="00171EBF" w:rsidP="00DE04E4">
            <w:pPr>
              <w:spacing w:line="276" w:lineRule="auto"/>
              <w:jc w:val="both"/>
              <w:rPr>
                <w:rFonts w:asciiTheme="majorBidi" w:hAnsiTheme="majorBidi" w:cstheme="majorBidi"/>
                <w:lang w:val="ro-MD"/>
              </w:rPr>
            </w:pPr>
            <w:r w:rsidRPr="009C3A85">
              <w:rPr>
                <w:rFonts w:asciiTheme="majorBidi" w:hAnsiTheme="majorBidi" w:cstheme="majorBidi"/>
                <w:lang w:val="ro-MD"/>
              </w:rPr>
              <w:t>[…]</w:t>
            </w:r>
          </w:p>
          <w:p w14:paraId="4483D7CD" w14:textId="0E377B3A" w:rsidR="00A73221" w:rsidRPr="009C3A85" w:rsidRDefault="00A73221" w:rsidP="00DE04E4">
            <w:pPr>
              <w:spacing w:line="276" w:lineRule="auto"/>
              <w:jc w:val="both"/>
              <w:rPr>
                <w:rFonts w:asciiTheme="majorBidi" w:hAnsiTheme="majorBidi" w:cstheme="majorBidi"/>
                <w:lang w:val="ro-MD"/>
              </w:rPr>
            </w:pPr>
            <w:r w:rsidRPr="009C3A85">
              <w:rPr>
                <w:rFonts w:asciiTheme="majorBidi" w:hAnsiTheme="majorBidi" w:cstheme="majorBidi"/>
                <w:lang w:val="ro-MD"/>
              </w:rPr>
              <w:t>151. [C]urtea subliniază că practica de a trage focuri de armă într-o asemenea situație — adică într-un iaht aglomerat, în care se aflau persoane panicate — este extrem de periculoasă. Ea consideră că garda de coastă nu putea ignora riscurile inerente tragerii în asemenea condiții.</w:t>
            </w:r>
          </w:p>
          <w:p w14:paraId="4A85034B" w14:textId="3B3A2E7D" w:rsidR="00A73221" w:rsidRPr="009C3A85" w:rsidRDefault="00A73221" w:rsidP="00DE04E4">
            <w:pPr>
              <w:spacing w:line="276" w:lineRule="auto"/>
              <w:jc w:val="both"/>
              <w:rPr>
                <w:rFonts w:asciiTheme="majorBidi" w:hAnsiTheme="majorBidi" w:cstheme="majorBidi"/>
                <w:lang w:val="ro-MD"/>
              </w:rPr>
            </w:pPr>
            <w:r w:rsidRPr="009C3A85">
              <w:rPr>
                <w:rFonts w:asciiTheme="majorBidi" w:hAnsiTheme="majorBidi" w:cstheme="majorBidi"/>
                <w:lang w:val="ro-MD"/>
              </w:rPr>
              <w:t xml:space="preserve">152. Curtea este de acord cu Guvernul că membrii gărzii de coastă implicați în incident trebuiau, desigur, să acționeze rapid și nu dispuneau de timpul necesar </w:t>
            </w:r>
            <w:r w:rsidRPr="009C3A85">
              <w:rPr>
                <w:rFonts w:asciiTheme="majorBidi" w:hAnsiTheme="majorBidi" w:cstheme="majorBidi"/>
                <w:lang w:val="ro-MD"/>
              </w:rPr>
              <w:lastRenderedPageBreak/>
              <w:t>pentru a evalua toți parametrii și a organiza minuțios operațiunea de interceptare. Totuși, Curtea observă că nu rezultă din dosar că operațiunea ar fi beneficiat de o pregătire specifică, un control adecvat sau o evaluare a riscurilor asociate folosirii armelor de foc.</w:t>
            </w:r>
          </w:p>
          <w:p w14:paraId="515A3AEA" w14:textId="74982850" w:rsidR="00060AF6" w:rsidRPr="009C3A85" w:rsidRDefault="00555CA9" w:rsidP="00DE04E4">
            <w:pPr>
              <w:spacing w:line="276" w:lineRule="auto"/>
              <w:jc w:val="both"/>
              <w:rPr>
                <w:rFonts w:asciiTheme="majorBidi" w:hAnsiTheme="majorBidi" w:cstheme="majorBidi"/>
                <w:lang w:val="ro-MD"/>
              </w:rPr>
            </w:pPr>
            <w:r w:rsidRPr="009C3A85">
              <w:rPr>
                <w:rFonts w:asciiTheme="majorBidi" w:hAnsiTheme="majorBidi" w:cstheme="majorBidi"/>
                <w:lang w:val="ro-MD"/>
              </w:rPr>
              <w:t>153. [C]urtea consideră că, înainte de a trage focuri de armă pentru imobilizare și a-i aresta pe căpitanii iahtului, garda de coastă nu a luat în considerare posibilitatea existenței altor pasageri la bord și, prin urmare, nu a dat dovadă de prudența necesară pentru a se asigura că orice risc pentru viață este redus la minimum.</w:t>
            </w:r>
          </w:p>
          <w:p w14:paraId="179DD2C0" w14:textId="66EF4400" w:rsidR="00A73221" w:rsidRPr="009C3A85" w:rsidRDefault="001A4EB0" w:rsidP="004C1E8B">
            <w:pPr>
              <w:spacing w:line="276" w:lineRule="auto"/>
              <w:jc w:val="both"/>
              <w:rPr>
                <w:rFonts w:asciiTheme="majorBidi" w:hAnsiTheme="majorBidi" w:cstheme="majorBidi"/>
                <w:lang w:val="ro-MD"/>
              </w:rPr>
            </w:pPr>
            <w:r w:rsidRPr="009C3A85">
              <w:rPr>
                <w:rFonts w:asciiTheme="majorBidi" w:hAnsiTheme="majorBidi" w:cstheme="majorBidi"/>
                <w:lang w:val="ro-MD"/>
              </w:rPr>
              <w:t>154. În consecință, în speță, operațiunea de interceptare în discuție nu a fost desfășurată astfel încât să reducă la minimum recurgerea la forță letală și riscurile posibile pentru viața fiului reclamanților.</w:t>
            </w:r>
          </w:p>
        </w:tc>
        <w:tc>
          <w:tcPr>
            <w:tcW w:w="1422" w:type="dxa"/>
            <w:tcBorders>
              <w:top w:val="nil"/>
            </w:tcBorders>
            <w:shd w:val="clear" w:color="auto" w:fill="FFFFFF" w:themeFill="background1"/>
          </w:tcPr>
          <w:p w14:paraId="1CAAD729" w14:textId="77777777" w:rsidR="00060AF6" w:rsidRPr="009C3A85" w:rsidRDefault="00060AF6" w:rsidP="00EF6956">
            <w:pPr>
              <w:spacing w:line="276" w:lineRule="auto"/>
              <w:rPr>
                <w:rFonts w:asciiTheme="majorBidi" w:hAnsiTheme="majorBidi" w:cstheme="majorBidi"/>
                <w:lang w:val="ro-MD"/>
              </w:rPr>
            </w:pPr>
          </w:p>
        </w:tc>
      </w:tr>
      <w:tr w:rsidR="009C7864" w:rsidRPr="009C3A85" w14:paraId="7F626B50" w14:textId="77777777" w:rsidTr="00C313B9">
        <w:tc>
          <w:tcPr>
            <w:tcW w:w="13837" w:type="dxa"/>
            <w:gridSpan w:val="5"/>
            <w:shd w:val="clear" w:color="auto" w:fill="F0FFF0"/>
          </w:tcPr>
          <w:p w14:paraId="167AC84A" w14:textId="139D0963" w:rsidR="009C7864" w:rsidRPr="009C3A85" w:rsidRDefault="009C7864" w:rsidP="00EF6956">
            <w:pPr>
              <w:pStyle w:val="1"/>
              <w:spacing w:line="276" w:lineRule="auto"/>
              <w:outlineLvl w:val="0"/>
            </w:pPr>
            <w:bookmarkStart w:id="2" w:name="_Toc213590706"/>
            <w:r w:rsidRPr="009C3A85">
              <w:lastRenderedPageBreak/>
              <w:t xml:space="preserve">Articolul </w:t>
            </w:r>
            <w:r w:rsidR="00804D00" w:rsidRPr="009C3A85">
              <w:t>3</w:t>
            </w:r>
            <w:r w:rsidRPr="009C3A85">
              <w:t xml:space="preserve">. </w:t>
            </w:r>
            <w:r w:rsidR="00804D00" w:rsidRPr="009C3A85">
              <w:t>Interzicerea torturii</w:t>
            </w:r>
            <w:bookmarkEnd w:id="2"/>
          </w:p>
        </w:tc>
      </w:tr>
      <w:tr w:rsidR="00A208EE" w:rsidRPr="002904F1" w14:paraId="7917E029" w14:textId="77777777" w:rsidTr="0038457E">
        <w:tc>
          <w:tcPr>
            <w:tcW w:w="1345" w:type="dxa"/>
            <w:tcBorders>
              <w:bottom w:val="nil"/>
            </w:tcBorders>
          </w:tcPr>
          <w:p w14:paraId="5E8A4C87" w14:textId="7AA6BD2B" w:rsidR="00A208EE" w:rsidRPr="009C3A85" w:rsidRDefault="00A208EE"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3</w:t>
            </w:r>
            <w:r w:rsidRPr="009C3A85">
              <w:rPr>
                <w:rFonts w:asciiTheme="majorBidi" w:hAnsiTheme="majorBidi" w:cstheme="majorBidi"/>
                <w:lang w:val="ro-MD"/>
              </w:rPr>
              <w:br/>
              <w:t>13</w:t>
            </w:r>
          </w:p>
          <w:p w14:paraId="2DF01A66" w14:textId="7926BF6A" w:rsidR="00A208EE" w:rsidRPr="009C3A85" w:rsidRDefault="00A208EE"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Lipsa asistenței medicale</w:t>
            </w:r>
          </w:p>
        </w:tc>
        <w:tc>
          <w:tcPr>
            <w:tcW w:w="1260" w:type="dxa"/>
            <w:tcBorders>
              <w:bottom w:val="nil"/>
            </w:tcBorders>
          </w:tcPr>
          <w:p w14:paraId="6F317532" w14:textId="5EF7701A" w:rsidR="00A208EE" w:rsidRPr="009C3A85" w:rsidRDefault="00A208EE"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09.10.2025</w:t>
            </w:r>
            <w:r w:rsidRPr="009C3A85">
              <w:rPr>
                <w:rFonts w:asciiTheme="majorBidi" w:hAnsiTheme="majorBidi" w:cstheme="majorBidi"/>
                <w:lang w:val="ro-MD"/>
              </w:rPr>
              <w:br/>
            </w:r>
            <w:hyperlink r:id="rId10" w:history="1">
              <w:r w:rsidRPr="009C3A85">
                <w:rPr>
                  <w:rStyle w:val="a4"/>
                  <w:rFonts w:asciiTheme="majorBidi" w:hAnsiTheme="majorBidi" w:cstheme="majorBidi"/>
                  <w:lang w:val="ro-MD"/>
                </w:rPr>
                <w:t>Platon c. Republicii Moldova</w:t>
              </w:r>
            </w:hyperlink>
          </w:p>
        </w:tc>
        <w:tc>
          <w:tcPr>
            <w:tcW w:w="2340" w:type="dxa"/>
            <w:tcBorders>
              <w:bottom w:val="nil"/>
            </w:tcBorders>
          </w:tcPr>
          <w:p w14:paraId="18318E00" w14:textId="37F4CB03" w:rsidR="00A208EE" w:rsidRPr="009C3A85" w:rsidRDefault="00A208EE" w:rsidP="00EF6956">
            <w:pPr>
              <w:spacing w:after="120" w:line="276" w:lineRule="auto"/>
              <w:jc w:val="both"/>
              <w:rPr>
                <w:rFonts w:asciiTheme="majorBidi" w:hAnsiTheme="majorBidi" w:cstheme="majorBidi"/>
                <w:lang w:val="ro-MD"/>
              </w:rPr>
            </w:pPr>
            <w:r w:rsidRPr="009C3A85">
              <w:rPr>
                <w:rFonts w:asciiTheme="majorBidi" w:hAnsiTheme="majorBidi" w:cstheme="majorBidi"/>
                <w:lang w:val="ro-MD"/>
              </w:rPr>
              <w:t>Tratament inuman și degradant; asistență medicală insuficientă acordată unui fost membru al consiliului municipal și al Parlamentului în timpul detenției; lipsa unei căi de atac eficiente</w:t>
            </w:r>
          </w:p>
        </w:tc>
        <w:tc>
          <w:tcPr>
            <w:tcW w:w="7470" w:type="dxa"/>
            <w:tcBorders>
              <w:bottom w:val="nil"/>
            </w:tcBorders>
          </w:tcPr>
          <w:p w14:paraId="4A6A53D3" w14:textId="3FF3AD19" w:rsidR="00A208EE" w:rsidRPr="009C3A85" w:rsidRDefault="00F23EAA" w:rsidP="00F23EAA">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32. </w:t>
            </w:r>
            <w:r w:rsidR="00A208EE" w:rsidRPr="009C3A85">
              <w:rPr>
                <w:rFonts w:asciiTheme="majorBidi" w:hAnsiTheme="majorBidi" w:cstheme="majorBidi"/>
                <w:lang w:val="ro-MD"/>
              </w:rPr>
              <w:t>Curtea mai observă că reclamantul a fost izolat şi a fost incapabil să consulte alţi medici în afară de cei din penitenciar, ceea ce înseamnă că i-a fost imposibil să obţină alte probe privind suferinţa sa în afara depunerii plângerilor şi primirii de răspunsuri. Întrucât părţile nu au depus nicio probă medicală confirmând vizite (neefectuate) ale medicilor din penitenciar în legătură cu durerile la rinichi, singurele fapte demne de încredere sunt că reclamantul a formulat cel puţin trei plângeri relevante şi că documentele depuse de părţi nu includ nicio dovadă documentară a unor vizite medicale (neefectuate), chiar şi ale medicului penitenciarului, ca răspuns la acele plângeri. În astfel de circumstanţe, Curtea nu este convinsă că chestiunea dacă reclamantul avea nevoie să fie consultat de un nefrolog pentru a determina şi trata cauza durerilor sale la rinichi a făcut obiectul unei evaluări medicale corespunzătoare.</w:t>
            </w:r>
          </w:p>
          <w:p w14:paraId="5F8DCB19" w14:textId="23B0B3B6" w:rsidR="00A208EE" w:rsidRPr="009C3A85" w:rsidRDefault="00F23EAA" w:rsidP="00F23EAA">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33. </w:t>
            </w:r>
            <w:r w:rsidR="00A208EE" w:rsidRPr="009C3A85">
              <w:rPr>
                <w:rFonts w:asciiTheme="majorBidi" w:hAnsiTheme="majorBidi" w:cstheme="majorBidi"/>
                <w:lang w:val="ro-MD"/>
              </w:rPr>
              <w:t xml:space="preserve">Curtea nu poate specula dacă solicitarea reclamantului de a fi consultat urgent de un medic din cauza durerilor severe la rinichi a fost – aşa cum susţine reclamantul – deliberat neînaintată ierarhiei administraţiei penitenciarului de către membrii detaşamentului „Pantera” care îl păzeau. Nu poate specula nici dacă reclamantul avea, în realitate, nevoie de tratament medical pentru afecţiunea semnalată. Totuşi, constată că plângerile reclamantului privind dureri severe la </w:t>
            </w:r>
            <w:r w:rsidR="00A208EE" w:rsidRPr="009C3A85">
              <w:rPr>
                <w:rFonts w:asciiTheme="majorBidi" w:hAnsiTheme="majorBidi" w:cstheme="majorBidi"/>
                <w:lang w:val="ro-MD"/>
              </w:rPr>
              <w:lastRenderedPageBreak/>
              <w:t>rinichi — care, în mod neîndoielnic, ar fi putut necesita asistenţă medicală dacă ar fi fost confirmate de profesionişti medicali — au fost ignorate într-un mod incompatibil cu obligaţia statului de a asigura îngrijirea medicală necesară în detenţie.</w:t>
            </w:r>
          </w:p>
          <w:p w14:paraId="26F397B4" w14:textId="729111A0" w:rsidR="00A208EE" w:rsidRPr="009C3A85" w:rsidRDefault="00F23EAA" w:rsidP="00F23EAA">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34. </w:t>
            </w:r>
            <w:r w:rsidR="00A208EE" w:rsidRPr="009C3A85">
              <w:rPr>
                <w:rFonts w:asciiTheme="majorBidi" w:hAnsiTheme="majorBidi" w:cstheme="majorBidi"/>
                <w:lang w:val="ro-MD"/>
              </w:rPr>
              <w:t>Prin urmare, Curtea constată că, în prezenta cauză, autorităţile nu şi-au îndeplinit obligaţiile referitoare la asistenţa medicală acordată unei persoane private de libertate.</w:t>
            </w:r>
          </w:p>
        </w:tc>
        <w:tc>
          <w:tcPr>
            <w:tcW w:w="1422" w:type="dxa"/>
            <w:tcBorders>
              <w:bottom w:val="nil"/>
            </w:tcBorders>
          </w:tcPr>
          <w:p w14:paraId="19968EEF" w14:textId="5488411F" w:rsidR="00A208EE" w:rsidRPr="009C3A85" w:rsidRDefault="00A208EE"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15 600 EUR (moral)</w:t>
            </w:r>
          </w:p>
          <w:p w14:paraId="717A3A34" w14:textId="385F89AB" w:rsidR="00A208EE" w:rsidRPr="009C3A85" w:rsidRDefault="00A208EE" w:rsidP="00EF6956">
            <w:pPr>
              <w:spacing w:after="120" w:line="276" w:lineRule="auto"/>
              <w:rPr>
                <w:rFonts w:asciiTheme="majorBidi" w:hAnsiTheme="majorBidi" w:cstheme="majorBidi"/>
                <w:lang w:val="ro-MD"/>
              </w:rPr>
            </w:pPr>
            <w:r w:rsidRPr="009C3A85">
              <w:rPr>
                <w:rFonts w:asciiTheme="majorBidi" w:hAnsiTheme="majorBidi" w:cstheme="majorBidi"/>
                <w:lang w:val="ro-MD"/>
              </w:rPr>
              <w:t>2 000 EUR (cost/chelt.)</w:t>
            </w:r>
          </w:p>
        </w:tc>
      </w:tr>
      <w:tr w:rsidR="00A208EE" w:rsidRPr="002904F1" w14:paraId="6F3DB718" w14:textId="77777777" w:rsidTr="0038457E">
        <w:tc>
          <w:tcPr>
            <w:tcW w:w="1345" w:type="dxa"/>
            <w:tcBorders>
              <w:top w:val="nil"/>
              <w:bottom w:val="single" w:sz="4" w:space="0" w:color="auto"/>
            </w:tcBorders>
          </w:tcPr>
          <w:p w14:paraId="574B2B5E" w14:textId="79CB9641" w:rsidR="00A208EE" w:rsidRPr="009C3A85" w:rsidRDefault="00A208EE"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8</w:t>
            </w:r>
          </w:p>
          <w:p w14:paraId="1936B40D" w14:textId="2C6C7181" w:rsidR="00A208EE" w:rsidRPr="009C3A85" w:rsidRDefault="00A208EE"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Viață de familie:</w:t>
            </w:r>
          </w:p>
          <w:p w14:paraId="1DF71002" w14:textId="764F1BAB" w:rsidR="00A208EE" w:rsidRPr="009C3A85" w:rsidRDefault="00A208EE"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Detenție</w:t>
            </w:r>
          </w:p>
        </w:tc>
        <w:tc>
          <w:tcPr>
            <w:tcW w:w="1260" w:type="dxa"/>
            <w:tcBorders>
              <w:top w:val="nil"/>
              <w:bottom w:val="single" w:sz="4" w:space="0" w:color="auto"/>
            </w:tcBorders>
          </w:tcPr>
          <w:p w14:paraId="2A2DCD22" w14:textId="77777777" w:rsidR="00A208EE" w:rsidRPr="009C3A85" w:rsidRDefault="00A208EE" w:rsidP="00EF6956">
            <w:pPr>
              <w:spacing w:after="120" w:line="276" w:lineRule="auto"/>
              <w:jc w:val="center"/>
              <w:rPr>
                <w:rFonts w:asciiTheme="majorBidi" w:hAnsiTheme="majorBidi" w:cstheme="majorBidi"/>
                <w:lang w:val="ro-MD"/>
              </w:rPr>
            </w:pPr>
          </w:p>
        </w:tc>
        <w:tc>
          <w:tcPr>
            <w:tcW w:w="2340" w:type="dxa"/>
            <w:tcBorders>
              <w:top w:val="nil"/>
              <w:bottom w:val="single" w:sz="4" w:space="0" w:color="auto"/>
            </w:tcBorders>
          </w:tcPr>
          <w:p w14:paraId="3A2351DE" w14:textId="52C95ACA" w:rsidR="00A208EE" w:rsidRPr="009C3A85" w:rsidRDefault="00A208EE" w:rsidP="00EF6956">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Aplicarea regulată a sancțiunilor asupra </w:t>
            </w:r>
            <w:r w:rsidR="0024677F" w:rsidRPr="009C3A85">
              <w:rPr>
                <w:rFonts w:asciiTheme="majorBidi" w:hAnsiTheme="majorBidi" w:cstheme="majorBidi"/>
                <w:lang w:val="ro-MD"/>
              </w:rPr>
              <w:t>reclamant</w:t>
            </w:r>
            <w:r w:rsidRPr="009C3A85">
              <w:rPr>
                <w:rFonts w:asciiTheme="majorBidi" w:hAnsiTheme="majorBidi" w:cstheme="majorBidi"/>
                <w:lang w:val="ro-MD"/>
              </w:rPr>
              <w:t>ului, prin suspendarea vizitelor familiale, a dus la o interdicție practic permanentă a acestor vizite timp de peste doi ani; restricția nu a fost impusă ca urmare a unei abateri disciplinare legate direct de exercitarea dreptului de a primi vizitatori; efectul cumulativ al reînnoirii interdicției nu a reflectat gravitatea comportamentului sancționat; ingerință disproporționată</w:t>
            </w:r>
          </w:p>
        </w:tc>
        <w:tc>
          <w:tcPr>
            <w:tcW w:w="7470" w:type="dxa"/>
            <w:tcBorders>
              <w:top w:val="nil"/>
              <w:bottom w:val="single" w:sz="4" w:space="0" w:color="auto"/>
            </w:tcBorders>
          </w:tcPr>
          <w:p w14:paraId="194719E6" w14:textId="49569FF2" w:rsidR="00A208EE" w:rsidRPr="009C3A85" w:rsidRDefault="00F23EAA" w:rsidP="00F23EAA">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44. </w:t>
            </w:r>
            <w:r w:rsidR="00A208EE" w:rsidRPr="009C3A85">
              <w:rPr>
                <w:rFonts w:asciiTheme="majorBidi" w:hAnsiTheme="majorBidi" w:cstheme="majorBidi"/>
                <w:lang w:val="ro-MD"/>
              </w:rPr>
              <w:t>Face parte esenţială din dreptul deţinutului la respectarea vieţii de familie faptul că autorităţile îi permit acestuia, sau, dacă este necesar, îl asistă să întreţină contactul cu membrii apropiaţi ai familiei. Acest principiu se aplică în egală măsură şi deţinuţilor nejudecaţi, care trebuie consideraţi nevinovaţi în virtutea art. 6 § 2 din Convenţie.</w:t>
            </w:r>
          </w:p>
          <w:p w14:paraId="0518BD64" w14:textId="2AF1DFAB" w:rsidR="00A208EE" w:rsidRPr="009C3A85" w:rsidRDefault="00F23EAA" w:rsidP="00F23EAA">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45. </w:t>
            </w:r>
            <w:r w:rsidR="00A208EE" w:rsidRPr="009C3A85">
              <w:rPr>
                <w:rFonts w:asciiTheme="majorBidi" w:hAnsiTheme="majorBidi" w:cstheme="majorBidi"/>
                <w:lang w:val="ro-MD"/>
              </w:rPr>
              <w:t>Curtea consideră că limitarea dreptului reclamantului de a se întâlni cu rudele sale a constituit o ingerinţă în drepturile sale în temeiul art. 8 din Convenţie. Remarcă, de asemenea, că o astfel de ingerinţă era prevăzută de lege şi urmărea scopul legitim al prevenirii tulburărilor în penitenciar. Trebuie, prin urmare, examinată chestiunea dacă ingerinţa a fost „necesară într-o societate democratică”.</w:t>
            </w:r>
          </w:p>
          <w:p w14:paraId="4D1EA26A" w14:textId="48AF0B7A" w:rsidR="00A208EE" w:rsidRPr="009C3A85" w:rsidRDefault="00AD2300" w:rsidP="00AD2300">
            <w:pPr>
              <w:spacing w:after="120" w:line="276" w:lineRule="auto"/>
              <w:jc w:val="both"/>
              <w:rPr>
                <w:rFonts w:asciiTheme="majorBidi" w:hAnsiTheme="majorBidi" w:cstheme="majorBidi"/>
                <w:lang w:val="ro-MD"/>
              </w:rPr>
            </w:pPr>
            <w:r w:rsidRPr="009C3A85">
              <w:rPr>
                <w:rFonts w:asciiTheme="majorBidi" w:hAnsiTheme="majorBidi" w:cstheme="majorBidi"/>
                <w:lang w:val="ro-MD"/>
              </w:rPr>
              <w:t>46. [</w:t>
            </w:r>
            <w:r w:rsidR="00A208EE" w:rsidRPr="009C3A85">
              <w:rPr>
                <w:rFonts w:asciiTheme="majorBidi" w:hAnsiTheme="majorBidi" w:cstheme="majorBidi"/>
                <w:lang w:val="ro-MD"/>
              </w:rPr>
              <w:t>C</w:t>
            </w:r>
            <w:r w:rsidRPr="009C3A85">
              <w:rPr>
                <w:rFonts w:asciiTheme="majorBidi" w:hAnsiTheme="majorBidi" w:cstheme="majorBidi"/>
                <w:lang w:val="ro-MD"/>
              </w:rPr>
              <w:t>]</w:t>
            </w:r>
            <w:r w:rsidR="00A208EE" w:rsidRPr="009C3A85">
              <w:rPr>
                <w:rFonts w:asciiTheme="majorBidi" w:hAnsiTheme="majorBidi" w:cstheme="majorBidi"/>
                <w:lang w:val="ro-MD"/>
              </w:rPr>
              <w:t>urtea reţine în mod deosebit maniera periodică de aplicare a unor astfel de sancţiuni, constând în interdicţia de a se întâlni cu rude pentru câte trei luni la rând, care, în prezenta cauză, au fost dispuse aproximativ o dată la trei luni şi astfel au condus la o interdicţie practic permanentă a întâlnirilor familiale pe o perioadă de peste doi ani. Rezultă că, atunci când au suspendat dreptul la vizite şi când le-au revizuit, autorităţile penitenciare şi instanţele nu au luat în considerare efectul cumulativ al acestor sancţiuni şi dacă, odată cu trecerea timpului, lipsa de contact între reclamant şi rudele sale a continuat să fie proporţionată. În mod similar, instanţele interne nu au acordat atenţie suficientă afirmaţiilor reclamantului potrivit cărora detaşamentul „Pantera” l-ar fi provocat să încalce regulile penitenciarului şi nici atitudinii acestora în general.</w:t>
            </w:r>
          </w:p>
          <w:p w14:paraId="7808742F" w14:textId="30E0C7EA" w:rsidR="00A208EE" w:rsidRPr="009C3A85" w:rsidRDefault="00B33875" w:rsidP="00B33875">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 xml:space="preserve">47. </w:t>
            </w:r>
            <w:r w:rsidR="00A208EE" w:rsidRPr="009C3A85">
              <w:rPr>
                <w:rFonts w:asciiTheme="majorBidi" w:hAnsiTheme="majorBidi" w:cstheme="majorBidi"/>
                <w:lang w:val="ro-MD"/>
              </w:rPr>
              <w:t>Mai mult, reclamantul a solicitat o întâlnire cu soţia sa la 12 mai 2017, când ultima sancţiune care îi împiedica întâlnirile cu rudele era pe cale să expire (la 28 mai 2017), şi a reiterat această cerere la 2 şi 9 iunie 2017, după ce sancţiunea respectivă expirase. Cu toate acestea, nicio întâlnire nu a fost autorizată, în absenţa oricărui impediment, până la 15 iunie 2017, când i-a fost aplicată din nou o sancţiune. Ulterior, cererea i-a fost refuzată. Curtea apreciază că efectul cumulativ al reînnoirii interdicţiei de vizite familiale pentru o perioadă de peste doi ani nu reflectă gravitatea comportamentului pentru care reclamantul a fost sancţionat. Perioada îndelungată de absenţă a oricărui contact direct cu rudele a fost, astfel, disproporţionată în raport cu scopul legitim urmărit şi, prin urmare, incompatibilă cu cerinţele art. 8 din Convenţie.</w:t>
            </w:r>
          </w:p>
        </w:tc>
        <w:tc>
          <w:tcPr>
            <w:tcW w:w="1422" w:type="dxa"/>
            <w:tcBorders>
              <w:top w:val="nil"/>
              <w:bottom w:val="single" w:sz="4" w:space="0" w:color="auto"/>
            </w:tcBorders>
          </w:tcPr>
          <w:p w14:paraId="775E144D" w14:textId="77777777" w:rsidR="00A208EE" w:rsidRPr="009C3A85" w:rsidRDefault="00A208EE" w:rsidP="00EF6956">
            <w:pPr>
              <w:spacing w:after="120" w:line="276" w:lineRule="auto"/>
              <w:rPr>
                <w:rFonts w:asciiTheme="majorBidi" w:hAnsiTheme="majorBidi" w:cstheme="majorBidi"/>
                <w:lang w:val="ro-MD"/>
              </w:rPr>
            </w:pPr>
          </w:p>
        </w:tc>
      </w:tr>
      <w:tr w:rsidR="00A208EE" w:rsidRPr="002904F1" w14:paraId="0643D14F" w14:textId="77777777" w:rsidTr="0038457E">
        <w:tc>
          <w:tcPr>
            <w:tcW w:w="1345" w:type="dxa"/>
            <w:tcBorders>
              <w:top w:val="nil"/>
              <w:bottom w:val="nil"/>
            </w:tcBorders>
          </w:tcPr>
          <w:p w14:paraId="689F1459" w14:textId="39DC773E" w:rsidR="00A208EE" w:rsidRPr="009C3A85" w:rsidRDefault="00A208EE" w:rsidP="009004A0">
            <w:pPr>
              <w:spacing w:after="120" w:line="276" w:lineRule="auto"/>
              <w:jc w:val="center"/>
              <w:rPr>
                <w:rFonts w:asciiTheme="majorBidi" w:hAnsiTheme="majorBidi" w:cstheme="majorBidi"/>
                <w:lang w:val="ro-MD"/>
              </w:rPr>
            </w:pPr>
            <w:r w:rsidRPr="009C3A85">
              <w:rPr>
                <w:rFonts w:asciiTheme="majorBidi" w:hAnsiTheme="majorBidi" w:cstheme="majorBidi"/>
                <w:lang w:val="ro-MD"/>
              </w:rPr>
              <w:t>3§2 P4</w:t>
            </w:r>
          </w:p>
          <w:p w14:paraId="251969D7" w14:textId="26496471" w:rsidR="00A208EE" w:rsidRPr="009C3A85" w:rsidRDefault="00A208EE" w:rsidP="009004A0">
            <w:pPr>
              <w:spacing w:after="120" w:line="276" w:lineRule="auto"/>
              <w:jc w:val="center"/>
              <w:rPr>
                <w:rFonts w:asciiTheme="majorBidi" w:hAnsiTheme="majorBidi" w:cstheme="majorBidi"/>
                <w:lang w:val="ro-MD"/>
              </w:rPr>
            </w:pPr>
            <w:r w:rsidRPr="009C3A85">
              <w:rPr>
                <w:rFonts w:asciiTheme="majorBidi" w:hAnsiTheme="majorBidi" w:cstheme="majorBidi"/>
                <w:lang w:val="ro-MD"/>
              </w:rPr>
              <w:t>Intrarea în propria țară</w:t>
            </w:r>
          </w:p>
        </w:tc>
        <w:tc>
          <w:tcPr>
            <w:tcW w:w="1260" w:type="dxa"/>
            <w:tcBorders>
              <w:top w:val="nil"/>
              <w:bottom w:val="nil"/>
            </w:tcBorders>
          </w:tcPr>
          <w:p w14:paraId="5AFE34EC" w14:textId="7D37C689" w:rsidR="00A208EE" w:rsidRPr="009C3A85" w:rsidRDefault="00A208EE"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14.09.2022</w:t>
            </w:r>
            <w:r w:rsidRPr="009C3A85">
              <w:rPr>
                <w:rFonts w:asciiTheme="majorBidi" w:hAnsiTheme="majorBidi" w:cstheme="majorBidi"/>
                <w:lang w:val="ro-MD"/>
              </w:rPr>
              <w:br/>
            </w:r>
            <w:hyperlink r:id="rId11" w:history="1">
              <w:r w:rsidRPr="009C3A85">
                <w:rPr>
                  <w:rStyle w:val="a4"/>
                  <w:rFonts w:asciiTheme="majorBidi" w:hAnsiTheme="majorBidi" w:cstheme="majorBidi"/>
                  <w:lang w:val="ro-MD"/>
                </w:rPr>
                <w:t>H.F. și alții c. Franței [MC]</w:t>
              </w:r>
            </w:hyperlink>
          </w:p>
        </w:tc>
        <w:tc>
          <w:tcPr>
            <w:tcW w:w="2340" w:type="dxa"/>
            <w:tcBorders>
              <w:top w:val="nil"/>
              <w:bottom w:val="nil"/>
            </w:tcBorders>
          </w:tcPr>
          <w:p w14:paraId="65411713" w14:textId="5BA2243A" w:rsidR="00A208EE" w:rsidRPr="009C3A85" w:rsidRDefault="00A208EE" w:rsidP="0066636A">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Lipsa unei examinări însoțite de garanții împotriva arbitrariului în cazul refuzului de repatriere a cetățenilor plasați în detenție împreună cu copiii lor în taberele aflate sub control kurd după căderea „Statului Islamic”; lipsa unui drept general la repatriere (în special pentru persoanele care nu pot ajunge la frontiera unui stat din cauza situației materiale); obligații procedurale pozitive </w:t>
            </w:r>
            <w:r w:rsidRPr="009C3A85">
              <w:rPr>
                <w:rFonts w:asciiTheme="majorBidi" w:hAnsiTheme="majorBidi" w:cstheme="majorBidi"/>
                <w:lang w:val="ro-MD"/>
              </w:rPr>
              <w:lastRenderedPageBreak/>
              <w:t>care decurg, în acest context, din circumstanțe excepționale (cum ar fi existența factorilor extrateritoriali care amenință direct integritatea fizică și viața copiilor aflați într-o situație de vulnerabilitate crescută); obligația de a se asigura că procesul decizional este însoțit de garanții adecvate împotriva arbitrarului și că este supus unei examinări independente</w:t>
            </w:r>
          </w:p>
        </w:tc>
        <w:tc>
          <w:tcPr>
            <w:tcW w:w="7470" w:type="dxa"/>
            <w:tcBorders>
              <w:top w:val="nil"/>
              <w:bottom w:val="nil"/>
            </w:tcBorders>
          </w:tcPr>
          <w:p w14:paraId="19B0E818" w14:textId="77777777" w:rsidR="00A208EE" w:rsidRPr="009C3A85" w:rsidRDefault="009F2922" w:rsidP="00537952">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252. Curtea reiterează că, în ceea ce privește principiile referitoare la obligațiile pozitive, în conformitate cu principiul general de interpretare a tuturor dispozițiilor Convenției și a protocoalelor sale, este esențial ca aceasta să fie interpretată și aplicată într-un mod care să facă garanțiile sale concrete și efective și nu teoretice și iluzorii. Mai mult, exercitarea efectivă a drepturilor garantate poate, în anumite circumstanțe, să impună statului să pună în aplicare măsuri operaționale. Fără a pune în discuție caracterul „absolut” al dreptului de a intra garantat de art. 3 § 2 din Protocolul nr. 4, care nu prevede restricții explicite, Curtea subliniază că, în ceea ce privește punerea în aplicare a acestui drept și la fel ca în alte contexte, amploarea obligațiilor pozitive va varia în mod inevitabil în funcție de diversitatea situațiilor din statele contractante și de alegerile care trebuie</w:t>
            </w:r>
            <w:r w:rsidR="00537952" w:rsidRPr="009C3A85">
              <w:rPr>
                <w:rFonts w:asciiTheme="majorBidi" w:hAnsiTheme="majorBidi" w:cstheme="majorBidi"/>
                <w:lang w:val="ro-MD"/>
              </w:rPr>
              <w:t xml:space="preserve"> </w:t>
            </w:r>
            <w:r w:rsidRPr="009C3A85">
              <w:rPr>
                <w:rFonts w:asciiTheme="majorBidi" w:hAnsiTheme="majorBidi" w:cstheme="majorBidi"/>
                <w:lang w:val="ro-MD"/>
              </w:rPr>
              <w:t>făcute în ceea ce privește prioritățile și resursele. Aceste obligații nu trebuie</w:t>
            </w:r>
            <w:r w:rsidR="00537952" w:rsidRPr="009C3A85">
              <w:rPr>
                <w:rFonts w:asciiTheme="majorBidi" w:hAnsiTheme="majorBidi" w:cstheme="majorBidi"/>
                <w:lang w:val="ro-MD"/>
              </w:rPr>
              <w:t xml:space="preserve"> </w:t>
            </w:r>
            <w:r w:rsidRPr="009C3A85">
              <w:rPr>
                <w:rFonts w:asciiTheme="majorBidi" w:hAnsiTheme="majorBidi" w:cstheme="majorBidi"/>
                <w:lang w:val="ro-MD"/>
              </w:rPr>
              <w:t>interpretate în așa fel încât să impună autorităților o sarcină insuportabilă sau</w:t>
            </w:r>
            <w:r w:rsidR="00537952" w:rsidRPr="009C3A85">
              <w:rPr>
                <w:rFonts w:asciiTheme="majorBidi" w:hAnsiTheme="majorBidi" w:cstheme="majorBidi"/>
                <w:lang w:val="ro-MD"/>
              </w:rPr>
              <w:t xml:space="preserve"> </w:t>
            </w:r>
            <w:r w:rsidRPr="009C3A85">
              <w:rPr>
                <w:rFonts w:asciiTheme="majorBidi" w:hAnsiTheme="majorBidi" w:cstheme="majorBidi"/>
                <w:lang w:val="ro-MD"/>
              </w:rPr>
              <w:t>excesivă. În ceea ce</w:t>
            </w:r>
            <w:r w:rsidR="00537952" w:rsidRPr="009C3A85">
              <w:rPr>
                <w:rFonts w:asciiTheme="majorBidi" w:hAnsiTheme="majorBidi" w:cstheme="majorBidi"/>
                <w:lang w:val="ro-MD"/>
              </w:rPr>
              <w:t xml:space="preserve"> </w:t>
            </w:r>
            <w:r w:rsidRPr="009C3A85">
              <w:rPr>
                <w:rFonts w:asciiTheme="majorBidi" w:hAnsiTheme="majorBidi" w:cstheme="majorBidi"/>
                <w:lang w:val="ro-MD"/>
              </w:rPr>
              <w:t>privește alegerea unor măsuri concrete specifice, Curtea a statuat în mai multe</w:t>
            </w:r>
            <w:r w:rsidR="00537952" w:rsidRPr="009C3A85">
              <w:rPr>
                <w:rFonts w:asciiTheme="majorBidi" w:hAnsiTheme="majorBidi" w:cstheme="majorBidi"/>
                <w:lang w:val="ro-MD"/>
              </w:rPr>
              <w:t xml:space="preserve"> </w:t>
            </w:r>
            <w:r w:rsidRPr="009C3A85">
              <w:rPr>
                <w:rFonts w:asciiTheme="majorBidi" w:hAnsiTheme="majorBidi" w:cstheme="majorBidi"/>
                <w:lang w:val="ro-MD"/>
              </w:rPr>
              <w:t>rânduri că, în cazurile în care statele contractante sunt obligate să ia măsuri</w:t>
            </w:r>
            <w:r w:rsidR="00537952" w:rsidRPr="009C3A85">
              <w:rPr>
                <w:rFonts w:asciiTheme="majorBidi" w:hAnsiTheme="majorBidi" w:cstheme="majorBidi"/>
                <w:lang w:val="ro-MD"/>
              </w:rPr>
              <w:t xml:space="preserve"> </w:t>
            </w:r>
            <w:r w:rsidRPr="009C3A85">
              <w:rPr>
                <w:rFonts w:asciiTheme="majorBidi" w:hAnsiTheme="majorBidi" w:cstheme="majorBidi"/>
                <w:lang w:val="ro-MD"/>
              </w:rPr>
              <w:t>pozitive, alegerea acestor măsuri se încadrează, în principiu, în marja lor de</w:t>
            </w:r>
            <w:r w:rsidR="00537952" w:rsidRPr="009C3A85">
              <w:rPr>
                <w:rFonts w:asciiTheme="majorBidi" w:hAnsiTheme="majorBidi" w:cstheme="majorBidi"/>
                <w:lang w:val="ro-MD"/>
              </w:rPr>
              <w:t xml:space="preserve"> </w:t>
            </w:r>
            <w:r w:rsidRPr="009C3A85">
              <w:rPr>
                <w:rFonts w:asciiTheme="majorBidi" w:hAnsiTheme="majorBidi" w:cstheme="majorBidi"/>
                <w:lang w:val="ro-MD"/>
              </w:rPr>
              <w:t>apreciere. Având în vedere diversitatea mijloacelor de garantare a drepturilor</w:t>
            </w:r>
            <w:r w:rsidR="00537952" w:rsidRPr="009C3A85">
              <w:rPr>
                <w:rFonts w:asciiTheme="majorBidi" w:hAnsiTheme="majorBidi" w:cstheme="majorBidi"/>
                <w:lang w:val="ro-MD"/>
              </w:rPr>
              <w:t xml:space="preserve"> </w:t>
            </w:r>
            <w:r w:rsidRPr="009C3A85">
              <w:rPr>
                <w:rFonts w:asciiTheme="majorBidi" w:hAnsiTheme="majorBidi" w:cstheme="majorBidi"/>
                <w:lang w:val="ro-MD"/>
              </w:rPr>
              <w:t>protejate de Convenție, faptul că statul în cauză nu pune în aplicare o anumită</w:t>
            </w:r>
            <w:r w:rsidR="00537952" w:rsidRPr="009C3A85">
              <w:rPr>
                <w:rFonts w:asciiTheme="majorBidi" w:hAnsiTheme="majorBidi" w:cstheme="majorBidi"/>
                <w:lang w:val="ro-MD"/>
              </w:rPr>
              <w:t xml:space="preserve"> </w:t>
            </w:r>
            <w:r w:rsidRPr="009C3A85">
              <w:rPr>
                <w:rFonts w:asciiTheme="majorBidi" w:hAnsiTheme="majorBidi" w:cstheme="majorBidi"/>
                <w:lang w:val="ro-MD"/>
              </w:rPr>
              <w:t>măsură prevăzută de dreptul intern nu îl împiedică să își îndeplinească</w:t>
            </w:r>
            <w:r w:rsidR="00537952" w:rsidRPr="009C3A85">
              <w:rPr>
                <w:rFonts w:asciiTheme="majorBidi" w:hAnsiTheme="majorBidi" w:cstheme="majorBidi"/>
                <w:lang w:val="ro-MD"/>
              </w:rPr>
              <w:t xml:space="preserve"> </w:t>
            </w:r>
            <w:r w:rsidRPr="009C3A85">
              <w:rPr>
                <w:rFonts w:asciiTheme="majorBidi" w:hAnsiTheme="majorBidi" w:cstheme="majorBidi"/>
                <w:lang w:val="ro-MD"/>
              </w:rPr>
              <w:t>obligația pozitivă într-un alt mod.</w:t>
            </w:r>
          </w:p>
          <w:p w14:paraId="0D98ED7E" w14:textId="77777777" w:rsidR="00537952" w:rsidRPr="009C3A85" w:rsidRDefault="00537952" w:rsidP="00537952">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w:t>
            </w:r>
          </w:p>
          <w:p w14:paraId="4AAFE445" w14:textId="58D51AEF" w:rsidR="00B901C9" w:rsidRPr="009C3A85" w:rsidRDefault="00AC1238" w:rsidP="00AC1238">
            <w:pPr>
              <w:spacing w:after="120" w:line="276" w:lineRule="auto"/>
              <w:jc w:val="both"/>
              <w:rPr>
                <w:rFonts w:asciiTheme="majorBidi" w:hAnsiTheme="majorBidi" w:cstheme="majorBidi"/>
                <w:lang w:val="ro-MD"/>
              </w:rPr>
            </w:pPr>
            <w:r w:rsidRPr="009C3A85">
              <w:rPr>
                <w:rFonts w:asciiTheme="majorBidi" w:hAnsiTheme="majorBidi" w:cstheme="majorBidi"/>
                <w:lang w:val="ro-MD"/>
              </w:rPr>
              <w:t>259. [C]urtea constată că nicio obligație în temeiul dreptului internațional convențional sau cutumiar nu obligă statele să își repatrieze resortisanții. În consecință, cetățenii francezi deținuți în taberele din nord-estul Siriei nu pot pretinde să beneficieze de un drept general la repatriere în temeiul dreptului de a intra pe teritoriul național garantat de art. 3 § 2 din Protocolul nr. 4. În acest sens, Curtea ia act de preocupările Guvernului pârât și ale unor guverne terțe, conform cărora consacrarea unui astfel de drept ar risca să ducă la recunoașterea unui drept individual la protecție diplomatică, ceea ce ar fi contrar dreptului internațional și puterii discreționare a statelor.</w:t>
            </w:r>
          </w:p>
          <w:p w14:paraId="75C0B9DC" w14:textId="6B410B6A" w:rsidR="00341A1A" w:rsidRPr="009C3A85" w:rsidRDefault="00341A1A" w:rsidP="00341A1A">
            <w:pPr>
              <w:spacing w:after="120" w:line="276" w:lineRule="auto"/>
              <w:jc w:val="both"/>
              <w:rPr>
                <w:rFonts w:asciiTheme="majorBidi" w:hAnsiTheme="majorBidi" w:cstheme="majorBidi"/>
                <w:lang w:val="ro-MD"/>
              </w:rPr>
            </w:pPr>
            <w:r w:rsidRPr="009C3A85">
              <w:rPr>
                <w:rFonts w:asciiTheme="majorBidi" w:hAnsiTheme="majorBidi" w:cstheme="majorBidi"/>
                <w:lang w:val="ro-MD"/>
              </w:rPr>
              <w:t>262. Curtea este conștientă de abordările variate adoptate de state în încercarea de a concilia necesitățile desfășurării politicilor lor guvernamentale cu respectarea obligațiilor juridice care le incumbă în temeiul dreptului național sau internațional. În scopul aplicării art. 3 § 2 din Protocolul nr. 4, imposibilitate unei persoane de a-și exercita dreptul de a intra pe teritoriul național trebuie, de asemenea, să fie apreciată în lumina politicii de înapoiere urmată de statul în cauză și a consecințelor acesteia. Cu toate acestea, Curtea trebuie să verifice compatibilitatea exercitării de către stat a puterii sale discreționare cu principiile fundamentale ale statului de drept și ale interzicerii arbitrariului care stau la baza Convenției în ansamblul său.</w:t>
            </w:r>
          </w:p>
          <w:p w14:paraId="027723EF" w14:textId="1979D362" w:rsidR="00341A1A" w:rsidRPr="009C3A85" w:rsidRDefault="00341A1A" w:rsidP="00341A1A">
            <w:pPr>
              <w:spacing w:after="120" w:line="276" w:lineRule="auto"/>
              <w:jc w:val="both"/>
              <w:rPr>
                <w:rFonts w:asciiTheme="majorBidi" w:hAnsiTheme="majorBidi" w:cstheme="majorBidi"/>
                <w:lang w:val="ro-MD"/>
              </w:rPr>
            </w:pPr>
            <w:r w:rsidRPr="009C3A85">
              <w:rPr>
                <w:rFonts w:asciiTheme="majorBidi" w:hAnsiTheme="majorBidi" w:cstheme="majorBidi"/>
                <w:lang w:val="ro-MD"/>
              </w:rPr>
              <w:t>263. Prin urmare, Curtea trebuie să cerceteze dacă situația rudelor reclamanților a fost de natură să ducă la constatarea unor circumstanțe excepționale în prezenta cauză (i) și, în caz afirmativ, să se pronunțe cu privire la faptul dacă procesul decizional urmat de autoritățile franceze a fost însoțit de garanții adecvate împotriva arbitrariului (ii).</w:t>
            </w:r>
          </w:p>
          <w:p w14:paraId="71AF1BAF" w14:textId="1F322CE2" w:rsidR="005E6996" w:rsidRPr="009C3A85" w:rsidRDefault="005E6996" w:rsidP="00341A1A">
            <w:pPr>
              <w:spacing w:after="120" w:line="276" w:lineRule="auto"/>
              <w:jc w:val="both"/>
              <w:rPr>
                <w:rFonts w:asciiTheme="majorBidi" w:hAnsiTheme="majorBidi" w:cstheme="majorBidi"/>
                <w:lang w:val="ro-MD"/>
              </w:rPr>
            </w:pPr>
            <w:r w:rsidRPr="009C3A85">
              <w:rPr>
                <w:rFonts w:asciiTheme="majorBidi" w:hAnsiTheme="majorBidi" w:cstheme="majorBidi"/>
                <w:lang w:val="ro-MD"/>
              </w:rPr>
              <w:t>[...]</w:t>
            </w:r>
          </w:p>
          <w:p w14:paraId="0E7A3B27" w14:textId="77777777" w:rsidR="00341A1A" w:rsidRDefault="005E6996" w:rsidP="00D43133">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271. </w:t>
            </w:r>
            <w:r w:rsidR="00AA2C5D">
              <w:rPr>
                <w:rFonts w:asciiTheme="majorBidi" w:hAnsiTheme="majorBidi" w:cstheme="majorBidi"/>
                <w:lang w:val="ro-MD"/>
              </w:rPr>
              <w:t>[</w:t>
            </w:r>
            <w:r w:rsidRPr="009C3A85">
              <w:rPr>
                <w:rFonts w:asciiTheme="majorBidi" w:hAnsiTheme="majorBidi" w:cstheme="majorBidi"/>
                <w:lang w:val="ro-MD"/>
              </w:rPr>
              <w:t>ș</w:t>
            </w:r>
            <w:r w:rsidR="00AA2C5D">
              <w:rPr>
                <w:rFonts w:asciiTheme="majorBidi" w:hAnsiTheme="majorBidi" w:cstheme="majorBidi"/>
                <w:lang w:val="ro-MD"/>
              </w:rPr>
              <w:t>]</w:t>
            </w:r>
            <w:r w:rsidRPr="009C3A85">
              <w:rPr>
                <w:rFonts w:asciiTheme="majorBidi" w:hAnsiTheme="majorBidi" w:cstheme="majorBidi"/>
                <w:lang w:val="ro-MD"/>
              </w:rPr>
              <w:t>i ținând seama de prezența unor elemente extrateritoriale care caracterizează existența unui risc de a fi adusă</w:t>
            </w:r>
            <w:r w:rsidR="009C3A85" w:rsidRPr="009C3A85">
              <w:rPr>
                <w:rFonts w:asciiTheme="majorBidi" w:hAnsiTheme="majorBidi" w:cstheme="majorBidi"/>
                <w:lang w:val="ro-MD"/>
              </w:rPr>
              <w:t xml:space="preserve"> </w:t>
            </w:r>
            <w:r w:rsidRPr="009C3A85">
              <w:rPr>
                <w:rFonts w:asciiTheme="majorBidi" w:hAnsiTheme="majorBidi" w:cstheme="majorBidi"/>
                <w:lang w:val="ro-MD"/>
              </w:rPr>
              <w:t xml:space="preserve">atingere integrității fizice și vieții rudelor </w:t>
            </w:r>
            <w:r w:rsidRPr="009C3A85">
              <w:rPr>
                <w:rFonts w:asciiTheme="majorBidi" w:hAnsiTheme="majorBidi" w:cstheme="majorBidi"/>
                <w:lang w:val="ro-MD"/>
              </w:rPr>
              <w:lastRenderedPageBreak/>
              <w:t>reclamanților, în special a nepoților</w:t>
            </w:r>
            <w:r w:rsidR="005849EB">
              <w:rPr>
                <w:rFonts w:asciiTheme="majorBidi" w:hAnsiTheme="majorBidi" w:cstheme="majorBidi"/>
                <w:lang w:val="ro-MD"/>
              </w:rPr>
              <w:t xml:space="preserve"> </w:t>
            </w:r>
            <w:r w:rsidRPr="009C3A85">
              <w:rPr>
                <w:rFonts w:asciiTheme="majorBidi" w:hAnsiTheme="majorBidi" w:cstheme="majorBidi"/>
                <w:lang w:val="ro-MD"/>
              </w:rPr>
              <w:t>acestora, Curtea concluzionează că în speță au existat circumstanțe</w:t>
            </w:r>
            <w:r w:rsidR="005849EB">
              <w:rPr>
                <w:rFonts w:asciiTheme="majorBidi" w:hAnsiTheme="majorBidi" w:cstheme="majorBidi"/>
                <w:lang w:val="ro-MD"/>
              </w:rPr>
              <w:t xml:space="preserve"> </w:t>
            </w:r>
            <w:r w:rsidRPr="009C3A85">
              <w:rPr>
                <w:rFonts w:asciiTheme="majorBidi" w:hAnsiTheme="majorBidi" w:cstheme="majorBidi"/>
                <w:lang w:val="ro-MD"/>
              </w:rPr>
              <w:t xml:space="preserve">excepționale. </w:t>
            </w:r>
            <w:r w:rsidR="00AA2C5D">
              <w:rPr>
                <w:rFonts w:asciiTheme="majorBidi" w:hAnsiTheme="majorBidi" w:cstheme="majorBidi"/>
                <w:lang w:val="ro-MD"/>
              </w:rPr>
              <w:t>[...]</w:t>
            </w:r>
          </w:p>
          <w:p w14:paraId="4C548F98" w14:textId="77777777" w:rsidR="006802B5" w:rsidRDefault="005D4B0B" w:rsidP="005D4B0B">
            <w:pPr>
              <w:spacing w:after="120" w:line="276" w:lineRule="auto"/>
              <w:jc w:val="both"/>
              <w:rPr>
                <w:rFonts w:asciiTheme="majorBidi" w:hAnsiTheme="majorBidi" w:cstheme="majorBidi"/>
                <w:lang w:val="ro-MD"/>
              </w:rPr>
            </w:pPr>
            <w:r w:rsidRPr="005D4B0B">
              <w:rPr>
                <w:rFonts w:asciiTheme="majorBidi" w:hAnsiTheme="majorBidi" w:cstheme="majorBidi"/>
                <w:lang w:val="ro-MD"/>
              </w:rPr>
              <w:t>272. Având în vedere considerentele anterioare, Curtea apreciază că le</w:t>
            </w:r>
            <w:r>
              <w:rPr>
                <w:rFonts w:asciiTheme="majorBidi" w:hAnsiTheme="majorBidi" w:cstheme="majorBidi"/>
                <w:lang w:val="ro-MD"/>
              </w:rPr>
              <w:t xml:space="preserve"> </w:t>
            </w:r>
            <w:r w:rsidRPr="005D4B0B">
              <w:rPr>
                <w:rFonts w:asciiTheme="majorBidi" w:hAnsiTheme="majorBidi" w:cstheme="majorBidi"/>
                <w:lang w:val="ro-MD"/>
              </w:rPr>
              <w:t>revenea autorităților franceze, în temeiul art. 3 § 2 din Protocolul nr. 4,</w:t>
            </w:r>
            <w:r>
              <w:rPr>
                <w:rFonts w:asciiTheme="majorBidi" w:hAnsiTheme="majorBidi" w:cstheme="majorBidi"/>
                <w:lang w:val="ro-MD"/>
              </w:rPr>
              <w:t xml:space="preserve"> </w:t>
            </w:r>
            <w:r w:rsidRPr="005D4B0B">
              <w:rPr>
                <w:rFonts w:asciiTheme="majorBidi" w:hAnsiTheme="majorBidi" w:cstheme="majorBidi"/>
                <w:lang w:val="ro-MD"/>
              </w:rPr>
              <w:t>obligația de a însoți procesul decizional privind cererile de înapoiere cu</w:t>
            </w:r>
            <w:r>
              <w:rPr>
                <w:rFonts w:asciiTheme="majorBidi" w:hAnsiTheme="majorBidi" w:cstheme="majorBidi"/>
                <w:lang w:val="ro-MD"/>
              </w:rPr>
              <w:t xml:space="preserve"> </w:t>
            </w:r>
            <w:r w:rsidRPr="005D4B0B">
              <w:rPr>
                <w:rFonts w:asciiTheme="majorBidi" w:hAnsiTheme="majorBidi" w:cstheme="majorBidi"/>
                <w:lang w:val="ro-MD"/>
              </w:rPr>
              <w:t>garanții adecvate împotriva arbitrariului.</w:t>
            </w:r>
          </w:p>
          <w:p w14:paraId="148C7E07" w14:textId="2C96B1DA" w:rsidR="009401DD" w:rsidRPr="009401DD" w:rsidRDefault="009401DD" w:rsidP="00FA0E9F">
            <w:pPr>
              <w:spacing w:after="120" w:line="276" w:lineRule="auto"/>
              <w:jc w:val="both"/>
              <w:rPr>
                <w:rFonts w:asciiTheme="majorBidi" w:hAnsiTheme="majorBidi" w:cstheme="majorBidi"/>
                <w:lang w:val="ro-MD"/>
              </w:rPr>
            </w:pPr>
            <w:r w:rsidRPr="009401DD">
              <w:rPr>
                <w:rFonts w:asciiTheme="majorBidi" w:hAnsiTheme="majorBidi" w:cstheme="majorBidi"/>
                <w:lang w:val="ro-MD"/>
              </w:rPr>
              <w:t xml:space="preserve">282. </w:t>
            </w:r>
            <w:r>
              <w:rPr>
                <w:rFonts w:asciiTheme="majorBidi" w:hAnsiTheme="majorBidi" w:cstheme="majorBidi"/>
                <w:lang w:val="ro-MD"/>
              </w:rPr>
              <w:t>[</w:t>
            </w:r>
            <w:r w:rsidRPr="009401DD">
              <w:rPr>
                <w:rFonts w:asciiTheme="majorBidi" w:hAnsiTheme="majorBidi" w:cstheme="majorBidi"/>
                <w:lang w:val="ro-MD"/>
              </w:rPr>
              <w:t>î</w:t>
            </w:r>
            <w:r>
              <w:rPr>
                <w:rFonts w:asciiTheme="majorBidi" w:hAnsiTheme="majorBidi" w:cstheme="majorBidi"/>
                <w:lang w:val="ro-MD"/>
              </w:rPr>
              <w:t>]</w:t>
            </w:r>
            <w:r w:rsidRPr="009401DD">
              <w:rPr>
                <w:rFonts w:asciiTheme="majorBidi" w:hAnsiTheme="majorBidi" w:cstheme="majorBidi"/>
                <w:lang w:val="ro-MD"/>
              </w:rPr>
              <w:t>n lipsa oricărei decizii formale a</w:t>
            </w:r>
            <w:r>
              <w:rPr>
                <w:rFonts w:asciiTheme="majorBidi" w:hAnsiTheme="majorBidi" w:cstheme="majorBidi"/>
                <w:lang w:val="ro-MD"/>
              </w:rPr>
              <w:t xml:space="preserve"> </w:t>
            </w:r>
            <w:r w:rsidRPr="009401DD">
              <w:rPr>
                <w:rFonts w:asciiTheme="majorBidi" w:hAnsiTheme="majorBidi" w:cstheme="majorBidi"/>
                <w:lang w:val="ro-MD"/>
              </w:rPr>
              <w:t>autorităților competente de a refuza să aprobe cererilor reclamanților,</w:t>
            </w:r>
            <w:r w:rsidR="00FA0E9F">
              <w:rPr>
                <w:rFonts w:asciiTheme="majorBidi" w:hAnsiTheme="majorBidi" w:cstheme="majorBidi"/>
                <w:lang w:val="ro-MD"/>
              </w:rPr>
              <w:t xml:space="preserve"> </w:t>
            </w:r>
            <w:r w:rsidRPr="009401DD">
              <w:rPr>
                <w:rFonts w:asciiTheme="majorBidi" w:hAnsiTheme="majorBidi" w:cstheme="majorBidi"/>
                <w:lang w:val="ro-MD"/>
              </w:rPr>
              <w:t>imunitatea jurisdicțională invocată de instanțele interne, în fața cărora aceștia</w:t>
            </w:r>
            <w:r w:rsidR="00FA0E9F">
              <w:rPr>
                <w:rFonts w:asciiTheme="majorBidi" w:hAnsiTheme="majorBidi" w:cstheme="majorBidi"/>
                <w:lang w:val="ro-MD"/>
              </w:rPr>
              <w:t xml:space="preserve"> </w:t>
            </w:r>
            <w:r w:rsidRPr="009401DD">
              <w:rPr>
                <w:rFonts w:asciiTheme="majorBidi" w:hAnsiTheme="majorBidi" w:cstheme="majorBidi"/>
                <w:lang w:val="ro-MD"/>
              </w:rPr>
              <w:t>și-au formulat pretențiile bazate pe respectarea dreptului prevăzut la art. 3 §</w:t>
            </w:r>
            <w:r w:rsidR="00FA0E9F">
              <w:rPr>
                <w:rFonts w:asciiTheme="majorBidi" w:hAnsiTheme="majorBidi" w:cstheme="majorBidi"/>
                <w:lang w:val="ro-MD"/>
              </w:rPr>
              <w:t xml:space="preserve"> </w:t>
            </w:r>
            <w:r w:rsidRPr="009401DD">
              <w:rPr>
                <w:rFonts w:asciiTheme="majorBidi" w:hAnsiTheme="majorBidi" w:cstheme="majorBidi"/>
                <w:lang w:val="ro-MD"/>
              </w:rPr>
              <w:t>2 din Protocolul nr. 4 și pe obligațiile care îi revin statului în temeiul acestei</w:t>
            </w:r>
            <w:r w:rsidR="00FA0E9F">
              <w:rPr>
                <w:rFonts w:asciiTheme="majorBidi" w:hAnsiTheme="majorBidi" w:cstheme="majorBidi"/>
                <w:lang w:val="ro-MD"/>
              </w:rPr>
              <w:t xml:space="preserve"> </w:t>
            </w:r>
            <w:r w:rsidRPr="009401DD">
              <w:rPr>
                <w:rFonts w:asciiTheme="majorBidi" w:hAnsiTheme="majorBidi" w:cstheme="majorBidi"/>
                <w:lang w:val="ro-MD"/>
              </w:rPr>
              <w:t>dispoziții, i-a privat de orice posibilitate de a contesta în mod util motivele</w:t>
            </w:r>
            <w:r w:rsidR="00FA0E9F">
              <w:rPr>
                <w:rFonts w:asciiTheme="majorBidi" w:hAnsiTheme="majorBidi" w:cstheme="majorBidi"/>
                <w:lang w:val="ro-MD"/>
              </w:rPr>
              <w:t xml:space="preserve"> </w:t>
            </w:r>
            <w:r w:rsidRPr="009401DD">
              <w:rPr>
                <w:rFonts w:asciiTheme="majorBidi" w:hAnsiTheme="majorBidi" w:cstheme="majorBidi"/>
                <w:lang w:val="ro-MD"/>
              </w:rPr>
              <w:t>reținute de aceste autorități și de a verifica dacă acestea nu erau arbitrare.</w:t>
            </w:r>
            <w:r w:rsidR="00FA0E9F">
              <w:rPr>
                <w:rFonts w:asciiTheme="majorBidi" w:hAnsiTheme="majorBidi" w:cstheme="majorBidi"/>
                <w:lang w:val="ro-MD"/>
              </w:rPr>
              <w:t xml:space="preserve"> </w:t>
            </w:r>
            <w:r w:rsidRPr="009401DD">
              <w:rPr>
                <w:rFonts w:asciiTheme="majorBidi" w:hAnsiTheme="majorBidi" w:cstheme="majorBidi"/>
                <w:lang w:val="ro-MD"/>
              </w:rPr>
              <w:t>Curtea precizează că exercitarea unui astfel de control nu implică în mod</w:t>
            </w:r>
            <w:r w:rsidR="00FA0E9F">
              <w:rPr>
                <w:rFonts w:asciiTheme="majorBidi" w:hAnsiTheme="majorBidi" w:cstheme="majorBidi"/>
                <w:lang w:val="ro-MD"/>
              </w:rPr>
              <w:t xml:space="preserve"> </w:t>
            </w:r>
            <w:r w:rsidRPr="009401DD">
              <w:rPr>
                <w:rFonts w:asciiTheme="majorBidi" w:hAnsiTheme="majorBidi" w:cstheme="majorBidi"/>
                <w:lang w:val="ro-MD"/>
              </w:rPr>
              <w:t>necesar faptul ca instanța sesizată să-și recunoască competența de a dispune,</w:t>
            </w:r>
            <w:r w:rsidR="00FA0E9F">
              <w:rPr>
                <w:rFonts w:asciiTheme="majorBidi" w:hAnsiTheme="majorBidi" w:cstheme="majorBidi"/>
                <w:lang w:val="ro-MD"/>
              </w:rPr>
              <w:t xml:space="preserve"> </w:t>
            </w:r>
            <w:r w:rsidRPr="009401DD">
              <w:rPr>
                <w:rFonts w:asciiTheme="majorBidi" w:hAnsiTheme="majorBidi" w:cstheme="majorBidi"/>
                <w:lang w:val="ro-MD"/>
              </w:rPr>
              <w:t>dacă este cazul, repatrierea.</w:t>
            </w:r>
          </w:p>
          <w:p w14:paraId="0D1F2FD6" w14:textId="37E57EFA" w:rsidR="00D53186" w:rsidRPr="009C3A85" w:rsidRDefault="009401DD" w:rsidP="00FA0E9F">
            <w:pPr>
              <w:spacing w:after="120" w:line="276" w:lineRule="auto"/>
              <w:jc w:val="both"/>
              <w:rPr>
                <w:rFonts w:asciiTheme="majorBidi" w:hAnsiTheme="majorBidi" w:cstheme="majorBidi"/>
                <w:lang w:val="ro-MD"/>
              </w:rPr>
            </w:pPr>
            <w:r w:rsidRPr="009401DD">
              <w:rPr>
                <w:rFonts w:asciiTheme="majorBidi" w:hAnsiTheme="majorBidi" w:cstheme="majorBidi"/>
                <w:lang w:val="ro-MD"/>
              </w:rPr>
              <w:t>283. Din cele de mai sus rezultă că examinarea cererilor de înapoiere</w:t>
            </w:r>
            <w:r w:rsidR="00FA0E9F">
              <w:rPr>
                <w:rFonts w:asciiTheme="majorBidi" w:hAnsiTheme="majorBidi" w:cstheme="majorBidi"/>
                <w:lang w:val="ro-MD"/>
              </w:rPr>
              <w:t xml:space="preserve"> </w:t>
            </w:r>
            <w:r w:rsidRPr="009401DD">
              <w:rPr>
                <w:rFonts w:asciiTheme="majorBidi" w:hAnsiTheme="majorBidi" w:cstheme="majorBidi"/>
                <w:lang w:val="ro-MD"/>
              </w:rPr>
              <w:t>formulate de reclamanți în numele rudelor lor nu a fost însoțită de garanții</w:t>
            </w:r>
            <w:r w:rsidR="00FA0E9F">
              <w:rPr>
                <w:rFonts w:asciiTheme="majorBidi" w:hAnsiTheme="majorBidi" w:cstheme="majorBidi"/>
                <w:lang w:val="ro-MD"/>
              </w:rPr>
              <w:t xml:space="preserve"> </w:t>
            </w:r>
            <w:r w:rsidRPr="009401DD">
              <w:rPr>
                <w:rFonts w:asciiTheme="majorBidi" w:hAnsiTheme="majorBidi" w:cstheme="majorBidi"/>
                <w:lang w:val="ro-MD"/>
              </w:rPr>
              <w:t>adecvate împotriva arbitrariului.</w:t>
            </w:r>
          </w:p>
        </w:tc>
        <w:tc>
          <w:tcPr>
            <w:tcW w:w="1422" w:type="dxa"/>
            <w:tcBorders>
              <w:top w:val="nil"/>
              <w:bottom w:val="nil"/>
            </w:tcBorders>
          </w:tcPr>
          <w:p w14:paraId="1797F5A6" w14:textId="1CD89D88" w:rsidR="00A208EE" w:rsidRPr="009C3A85" w:rsidRDefault="00E95D13"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Constatarea încălcării - satisfacție echitabilă</w:t>
            </w:r>
          </w:p>
          <w:p w14:paraId="1FF40292" w14:textId="642C6E7F" w:rsidR="00A208EE" w:rsidRPr="009C3A85" w:rsidRDefault="00A208EE" w:rsidP="00EF6956">
            <w:pPr>
              <w:spacing w:after="120" w:line="276" w:lineRule="auto"/>
              <w:rPr>
                <w:rFonts w:asciiTheme="majorBidi" w:hAnsiTheme="majorBidi" w:cstheme="majorBidi"/>
                <w:lang w:val="ro-MD"/>
              </w:rPr>
            </w:pPr>
            <w:r w:rsidRPr="009C3A85">
              <w:rPr>
                <w:rFonts w:asciiTheme="majorBidi" w:hAnsiTheme="majorBidi" w:cstheme="majorBidi"/>
                <w:lang w:val="ro-MD"/>
              </w:rPr>
              <w:t>Primul și al doilea reclamant: 18 000 EUR (chelt. de jud.)</w:t>
            </w:r>
          </w:p>
          <w:p w14:paraId="007AE8DB" w14:textId="32DEF85F" w:rsidR="00A208EE" w:rsidRPr="009C3A85" w:rsidRDefault="00A208EE" w:rsidP="00EF6956">
            <w:pPr>
              <w:spacing w:after="120" w:line="276" w:lineRule="auto"/>
              <w:rPr>
                <w:rFonts w:asciiTheme="majorBidi" w:hAnsiTheme="majorBidi" w:cstheme="majorBidi"/>
                <w:lang w:val="ro-MD"/>
              </w:rPr>
            </w:pPr>
            <w:r w:rsidRPr="009C3A85">
              <w:rPr>
                <w:rFonts w:asciiTheme="majorBidi" w:hAnsiTheme="majorBidi" w:cstheme="majorBidi"/>
                <w:lang w:val="ro-MD"/>
              </w:rPr>
              <w:t>Al treilea și al patrulea reclamant: 13 200 EUR (chelt. de jud.)</w:t>
            </w:r>
          </w:p>
        </w:tc>
      </w:tr>
      <w:tr w:rsidR="00A208EE" w:rsidRPr="002904F1" w14:paraId="18D872FE" w14:textId="77777777" w:rsidTr="0038457E">
        <w:tc>
          <w:tcPr>
            <w:tcW w:w="1345" w:type="dxa"/>
            <w:tcBorders>
              <w:top w:val="nil"/>
              <w:bottom w:val="single" w:sz="4" w:space="0" w:color="auto"/>
            </w:tcBorders>
          </w:tcPr>
          <w:p w14:paraId="30309928" w14:textId="77777777" w:rsidR="00A208EE" w:rsidRDefault="00A208EE" w:rsidP="00B66D36">
            <w:pPr>
              <w:spacing w:after="120" w:line="276" w:lineRule="auto"/>
              <w:jc w:val="center"/>
              <w:rPr>
                <w:rFonts w:asciiTheme="majorBidi" w:hAnsiTheme="majorBidi" w:cstheme="majorBidi"/>
                <w:lang w:val="ro-MD"/>
              </w:rPr>
            </w:pPr>
            <w:r w:rsidRPr="009C3A85">
              <w:rPr>
                <w:rFonts w:asciiTheme="majorBidi" w:hAnsiTheme="majorBidi" w:cstheme="majorBidi"/>
                <w:lang w:val="ro-MD"/>
              </w:rPr>
              <w:lastRenderedPageBreak/>
              <w:t>46</w:t>
            </w:r>
          </w:p>
          <w:p w14:paraId="5F09B5EF" w14:textId="77777777" w:rsidR="007473CE" w:rsidRPr="009C3A85" w:rsidRDefault="007473CE" w:rsidP="007473CE">
            <w:pPr>
              <w:spacing w:after="120" w:line="276" w:lineRule="auto"/>
              <w:jc w:val="center"/>
              <w:rPr>
                <w:rFonts w:asciiTheme="majorBidi" w:hAnsiTheme="majorBidi" w:cstheme="majorBidi"/>
                <w:lang w:val="ro-MD"/>
              </w:rPr>
            </w:pPr>
            <w:r w:rsidRPr="009C3A85">
              <w:rPr>
                <w:rFonts w:asciiTheme="majorBidi" w:hAnsiTheme="majorBidi" w:cstheme="majorBidi"/>
                <w:lang w:val="ro-MD"/>
              </w:rPr>
              <w:t>Executarea hotărârii</w:t>
            </w:r>
          </w:p>
          <w:p w14:paraId="3E5E2EF5" w14:textId="12958A3D" w:rsidR="007473CE" w:rsidRPr="009C3A85" w:rsidRDefault="007473CE" w:rsidP="007473CE">
            <w:pPr>
              <w:spacing w:after="120" w:line="276" w:lineRule="auto"/>
              <w:jc w:val="center"/>
              <w:rPr>
                <w:rFonts w:asciiTheme="majorBidi" w:hAnsiTheme="majorBidi" w:cstheme="majorBidi"/>
                <w:lang w:val="ro-MD"/>
              </w:rPr>
            </w:pPr>
            <w:r w:rsidRPr="009C3A85">
              <w:rPr>
                <w:rFonts w:asciiTheme="majorBidi" w:hAnsiTheme="majorBidi" w:cstheme="majorBidi"/>
                <w:lang w:val="ro-MD"/>
              </w:rPr>
              <w:t>Măsurile individuale</w:t>
            </w:r>
          </w:p>
        </w:tc>
        <w:tc>
          <w:tcPr>
            <w:tcW w:w="1260" w:type="dxa"/>
            <w:tcBorders>
              <w:top w:val="nil"/>
              <w:bottom w:val="single" w:sz="4" w:space="0" w:color="auto"/>
            </w:tcBorders>
          </w:tcPr>
          <w:p w14:paraId="3E3C4DBD" w14:textId="77777777" w:rsidR="00A208EE" w:rsidRPr="009C3A85" w:rsidRDefault="00A208EE" w:rsidP="00EF6956">
            <w:pPr>
              <w:spacing w:after="120" w:line="276" w:lineRule="auto"/>
              <w:jc w:val="center"/>
              <w:rPr>
                <w:rFonts w:asciiTheme="majorBidi" w:hAnsiTheme="majorBidi" w:cstheme="majorBidi"/>
                <w:lang w:val="ro-MD"/>
              </w:rPr>
            </w:pPr>
          </w:p>
        </w:tc>
        <w:tc>
          <w:tcPr>
            <w:tcW w:w="2340" w:type="dxa"/>
            <w:tcBorders>
              <w:top w:val="nil"/>
              <w:bottom w:val="single" w:sz="4" w:space="0" w:color="auto"/>
            </w:tcBorders>
          </w:tcPr>
          <w:p w14:paraId="2A7F123F" w14:textId="3539D90A" w:rsidR="00A208EE" w:rsidRPr="009C3A85" w:rsidRDefault="007473CE" w:rsidP="00B66D36">
            <w:pPr>
              <w:spacing w:after="120" w:line="276" w:lineRule="auto"/>
              <w:jc w:val="both"/>
              <w:rPr>
                <w:rFonts w:asciiTheme="majorBidi" w:hAnsiTheme="majorBidi" w:cstheme="majorBidi"/>
                <w:lang w:val="ro-MD"/>
              </w:rPr>
            </w:pPr>
            <w:r>
              <w:rPr>
                <w:rFonts w:asciiTheme="majorBidi" w:hAnsiTheme="majorBidi" w:cstheme="majorBidi"/>
                <w:lang w:val="ro-MD"/>
              </w:rPr>
              <w:t>C</w:t>
            </w:r>
            <w:r w:rsidR="00A208EE" w:rsidRPr="009C3A85">
              <w:rPr>
                <w:rFonts w:asciiTheme="majorBidi" w:hAnsiTheme="majorBidi" w:cstheme="majorBidi"/>
                <w:lang w:val="ro-MD"/>
              </w:rPr>
              <w:t>ererile de repatriere să fie examinate cu promptitudine, cu garanții adecvate împotriva arbitrariului</w:t>
            </w:r>
          </w:p>
        </w:tc>
        <w:tc>
          <w:tcPr>
            <w:tcW w:w="7470" w:type="dxa"/>
            <w:tcBorders>
              <w:top w:val="nil"/>
              <w:bottom w:val="single" w:sz="4" w:space="0" w:color="auto"/>
            </w:tcBorders>
          </w:tcPr>
          <w:p w14:paraId="67EBB268" w14:textId="1A394B82" w:rsidR="00A208EE" w:rsidRPr="009C3A85" w:rsidRDefault="00D40FF6" w:rsidP="00537952">
            <w:pPr>
              <w:spacing w:after="120" w:line="276" w:lineRule="auto"/>
              <w:jc w:val="both"/>
              <w:rPr>
                <w:rFonts w:asciiTheme="majorBidi" w:hAnsiTheme="majorBidi" w:cstheme="majorBidi"/>
                <w:lang w:val="ro-MD"/>
              </w:rPr>
            </w:pPr>
            <w:r w:rsidRPr="009C3A85">
              <w:rPr>
                <w:rFonts w:asciiTheme="majorBidi" w:hAnsiTheme="majorBidi" w:cstheme="majorBidi"/>
                <w:lang w:val="ro-MD"/>
              </w:rPr>
              <w:t>295. În speță, Curtea a constatat că nici modul în care au fost examinate cererile de înapoiere pe teritoriul național de către executiv, nici controlul jurisdicțional al deciziei luate de executiv nu au permis să se excludă lipsa arbitrarului. Prin urmare, aceasta consideră că îi revine Guvernului francez obligația de a relua în cel mai scurt termen examinarea acestor cereri, asigurându-se în același timp că sunt oferite garanții adecvate împotriva arbitrariului.</w:t>
            </w:r>
          </w:p>
        </w:tc>
        <w:tc>
          <w:tcPr>
            <w:tcW w:w="1422" w:type="dxa"/>
            <w:tcBorders>
              <w:top w:val="nil"/>
              <w:bottom w:val="single" w:sz="4" w:space="0" w:color="auto"/>
            </w:tcBorders>
          </w:tcPr>
          <w:p w14:paraId="58283079" w14:textId="77777777" w:rsidR="00A208EE" w:rsidRPr="009C3A85" w:rsidRDefault="00A208EE" w:rsidP="00EF6956">
            <w:pPr>
              <w:spacing w:after="120" w:line="276" w:lineRule="auto"/>
              <w:rPr>
                <w:rFonts w:asciiTheme="majorBidi" w:hAnsiTheme="majorBidi" w:cstheme="majorBidi"/>
                <w:lang w:val="ro-MD"/>
              </w:rPr>
            </w:pPr>
          </w:p>
        </w:tc>
      </w:tr>
      <w:tr w:rsidR="0058141C" w:rsidRPr="002904F1" w14:paraId="078A5A16" w14:textId="77777777" w:rsidTr="00DC3BE4">
        <w:tc>
          <w:tcPr>
            <w:tcW w:w="13837" w:type="dxa"/>
            <w:gridSpan w:val="5"/>
            <w:tcBorders>
              <w:top w:val="nil"/>
              <w:bottom w:val="single" w:sz="4" w:space="0" w:color="auto"/>
            </w:tcBorders>
            <w:shd w:val="clear" w:color="auto" w:fill="F5FFFA"/>
          </w:tcPr>
          <w:p w14:paraId="77C97B41" w14:textId="29D3B93B" w:rsidR="0058141C" w:rsidRPr="009C3A85" w:rsidRDefault="0058141C" w:rsidP="00EF6956">
            <w:pPr>
              <w:pStyle w:val="1"/>
              <w:spacing w:line="276" w:lineRule="auto"/>
              <w:outlineLvl w:val="0"/>
            </w:pPr>
            <w:bookmarkStart w:id="3" w:name="_Toc213590707"/>
            <w:r w:rsidRPr="009C3A85">
              <w:t>Articolul 5. Dreptul la libertate și siguranță</w:t>
            </w:r>
            <w:bookmarkEnd w:id="3"/>
          </w:p>
        </w:tc>
      </w:tr>
      <w:tr w:rsidR="0087236C" w:rsidRPr="009C3A85" w14:paraId="5564A4FE" w14:textId="77777777" w:rsidTr="0038457E">
        <w:tc>
          <w:tcPr>
            <w:tcW w:w="1345" w:type="dxa"/>
            <w:tcBorders>
              <w:top w:val="nil"/>
              <w:bottom w:val="nil"/>
            </w:tcBorders>
          </w:tcPr>
          <w:p w14:paraId="7E7AA719" w14:textId="77777777" w:rsidR="0087236C" w:rsidRDefault="0087236C" w:rsidP="003A3A77">
            <w:pPr>
              <w:spacing w:after="120" w:line="276" w:lineRule="auto"/>
              <w:jc w:val="center"/>
              <w:rPr>
                <w:rFonts w:asciiTheme="majorBidi" w:hAnsiTheme="majorBidi" w:cstheme="majorBidi"/>
                <w:lang w:val="ro-MD"/>
              </w:rPr>
            </w:pPr>
            <w:r w:rsidRPr="009C3A85">
              <w:rPr>
                <w:rFonts w:asciiTheme="majorBidi" w:hAnsiTheme="majorBidi" w:cstheme="majorBidi"/>
                <w:lang w:val="ro-MD"/>
              </w:rPr>
              <w:t>5</w:t>
            </w:r>
            <w:r w:rsidRPr="009C3A85">
              <w:rPr>
                <w:rFonts w:asciiTheme="majorBidi" w:hAnsiTheme="majorBidi" w:cstheme="majorBidi"/>
                <w:color w:val="000000"/>
                <w:shd w:val="clear" w:color="auto" w:fill="FFFFFF"/>
                <w:lang w:val="ro-MD"/>
              </w:rPr>
              <w:t>§</w:t>
            </w:r>
            <w:r w:rsidRPr="009C3A85">
              <w:rPr>
                <w:rFonts w:asciiTheme="majorBidi" w:hAnsiTheme="majorBidi" w:cstheme="majorBidi"/>
                <w:lang w:val="ro-MD"/>
              </w:rPr>
              <w:t>1</w:t>
            </w:r>
          </w:p>
          <w:p w14:paraId="555BC21D" w14:textId="77777777" w:rsidR="009B5A84" w:rsidRDefault="008C3A92" w:rsidP="003A3A77">
            <w:pPr>
              <w:spacing w:after="120" w:line="276" w:lineRule="auto"/>
              <w:jc w:val="center"/>
              <w:rPr>
                <w:rFonts w:asciiTheme="majorBidi" w:hAnsiTheme="majorBidi" w:cstheme="majorBidi"/>
                <w:lang w:val="ro-MD"/>
              </w:rPr>
            </w:pPr>
            <w:r>
              <w:rPr>
                <w:rFonts w:asciiTheme="majorBidi" w:hAnsiTheme="majorBidi" w:cstheme="majorBidi"/>
                <w:lang w:val="ro-MD"/>
              </w:rPr>
              <w:t>Detenție ilegală</w:t>
            </w:r>
          </w:p>
          <w:p w14:paraId="3CE68FC0" w14:textId="427D37A7" w:rsidR="00790F11" w:rsidRPr="00790F11" w:rsidRDefault="00790F11" w:rsidP="003A3A77">
            <w:pPr>
              <w:spacing w:after="120" w:line="276" w:lineRule="auto"/>
              <w:jc w:val="center"/>
              <w:rPr>
                <w:rFonts w:asciiTheme="majorBidi" w:hAnsiTheme="majorBidi" w:cstheme="majorBidi"/>
                <w:lang w:val="ro-MD"/>
              </w:rPr>
            </w:pPr>
            <w:r w:rsidRPr="00790F11">
              <w:rPr>
                <w:rFonts w:asciiTheme="majorBidi" w:hAnsiTheme="majorBidi" w:cstheme="majorBidi"/>
                <w:lang w:val="ro-MD"/>
              </w:rPr>
              <w:lastRenderedPageBreak/>
              <w:t>Lipsa motivelor relevante și suficiente pentru detenție</w:t>
            </w:r>
          </w:p>
        </w:tc>
        <w:tc>
          <w:tcPr>
            <w:tcW w:w="1260" w:type="dxa"/>
            <w:tcBorders>
              <w:top w:val="nil"/>
              <w:bottom w:val="nil"/>
            </w:tcBorders>
          </w:tcPr>
          <w:p w14:paraId="742595A9" w14:textId="4B0A04A1"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lastRenderedPageBreak/>
              <w:t>17.01.2023</w:t>
            </w:r>
            <w:r w:rsidRPr="009C3A85">
              <w:rPr>
                <w:rFonts w:asciiTheme="majorBidi" w:hAnsiTheme="majorBidi" w:cstheme="majorBidi"/>
                <w:lang w:val="ro-MD"/>
              </w:rPr>
              <w:br/>
            </w:r>
            <w:hyperlink r:id="rId12" w:history="1">
              <w:r w:rsidRPr="009C3A85">
                <w:rPr>
                  <w:rStyle w:val="a4"/>
                  <w:rFonts w:asciiTheme="majorBidi" w:hAnsiTheme="majorBidi" w:cstheme="majorBidi"/>
                  <w:lang w:val="ro-MD"/>
                </w:rPr>
                <w:t xml:space="preserve">Minasian și alții c. </w:t>
              </w:r>
              <w:r w:rsidRPr="009C3A85">
                <w:rPr>
                  <w:rStyle w:val="a4"/>
                  <w:rFonts w:asciiTheme="majorBidi" w:hAnsiTheme="majorBidi" w:cstheme="majorBidi"/>
                  <w:lang w:val="ro-MD"/>
                </w:rPr>
                <w:lastRenderedPageBreak/>
                <w:t>Republicii Moldova</w:t>
              </w:r>
            </w:hyperlink>
          </w:p>
        </w:tc>
        <w:tc>
          <w:tcPr>
            <w:tcW w:w="2340" w:type="dxa"/>
            <w:tcBorders>
              <w:top w:val="nil"/>
              <w:bottom w:val="nil"/>
            </w:tcBorders>
          </w:tcPr>
          <w:p w14:paraId="60EB5739" w14:textId="66B53EEF" w:rsidR="0087236C" w:rsidRPr="009C3A85" w:rsidRDefault="003A3A77" w:rsidP="003A3A77">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Detenția fără o bază legală a copiilor minori care și-au însoțit mama în detenție;</w:t>
            </w:r>
            <w:r w:rsidR="003F28E2" w:rsidRPr="009C3A85">
              <w:rPr>
                <w:rFonts w:asciiTheme="majorBidi" w:hAnsiTheme="majorBidi" w:cstheme="majorBidi"/>
                <w:lang w:val="ro-MD"/>
              </w:rPr>
              <w:t xml:space="preserve"> </w:t>
            </w:r>
            <w:r w:rsidRPr="009C3A85">
              <w:rPr>
                <w:rFonts w:asciiTheme="majorBidi" w:hAnsiTheme="majorBidi" w:cstheme="majorBidi"/>
                <w:lang w:val="ro-MD"/>
              </w:rPr>
              <w:t xml:space="preserve">eșecul </w:t>
            </w:r>
            <w:r w:rsidRPr="009C3A85">
              <w:rPr>
                <w:rFonts w:asciiTheme="majorBidi" w:hAnsiTheme="majorBidi" w:cstheme="majorBidi"/>
                <w:lang w:val="ro-MD"/>
              </w:rPr>
              <w:lastRenderedPageBreak/>
              <w:t xml:space="preserve">instanțelor naționale de a examina dacă detenția copiilor este o măsură de ultimă instanță și dacă centrul de detenție este corespunzător pentru adăpostirea familiilor cu copii minori  </w:t>
            </w:r>
          </w:p>
        </w:tc>
        <w:tc>
          <w:tcPr>
            <w:tcW w:w="7470" w:type="dxa"/>
            <w:tcBorders>
              <w:top w:val="nil"/>
              <w:bottom w:val="nil"/>
            </w:tcBorders>
          </w:tcPr>
          <w:p w14:paraId="588D243F" w14:textId="335477C0" w:rsidR="005A788D" w:rsidRPr="009C3A85" w:rsidRDefault="005A788D" w:rsidP="00CE4E9D">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 xml:space="preserve">42. </w:t>
            </w:r>
            <w:r w:rsidR="00CE4E9D" w:rsidRPr="009C3A85">
              <w:rPr>
                <w:rFonts w:asciiTheme="majorBidi" w:hAnsiTheme="majorBidi" w:cstheme="majorBidi"/>
                <w:lang w:val="ro-MD"/>
              </w:rPr>
              <w:t>[C]</w:t>
            </w:r>
            <w:r w:rsidRPr="009C3A85">
              <w:rPr>
                <w:rFonts w:asciiTheme="majorBidi" w:hAnsiTheme="majorBidi" w:cstheme="majorBidi"/>
                <w:lang w:val="ro-MD"/>
              </w:rPr>
              <w:t>urtea</w:t>
            </w:r>
            <w:r w:rsidR="00CE4E9D" w:rsidRPr="009C3A85">
              <w:rPr>
                <w:rFonts w:asciiTheme="majorBidi" w:hAnsiTheme="majorBidi" w:cstheme="majorBidi"/>
                <w:lang w:val="ro-MD"/>
              </w:rPr>
              <w:t xml:space="preserve"> </w:t>
            </w:r>
            <w:r w:rsidRPr="009C3A85">
              <w:rPr>
                <w:rFonts w:asciiTheme="majorBidi" w:hAnsiTheme="majorBidi" w:cstheme="majorBidi"/>
                <w:lang w:val="ro-MD"/>
              </w:rPr>
              <w:t>reiterează că detenția copiilor mici în condiții necorespunzătoare poate conduce în sine la constatarea unei încălcări a Articolului 5 § 1, indiferent dacă copiii erau însoțiți sau nu de către un adult.</w:t>
            </w:r>
            <w:r w:rsidR="00CE4E9D" w:rsidRPr="009C3A85">
              <w:rPr>
                <w:rFonts w:asciiTheme="majorBidi" w:hAnsiTheme="majorBidi" w:cstheme="majorBidi"/>
                <w:lang w:val="ro-MD"/>
              </w:rPr>
              <w:t xml:space="preserve"> </w:t>
            </w:r>
            <w:r w:rsidRPr="009C3A85">
              <w:rPr>
                <w:rFonts w:asciiTheme="majorBidi" w:hAnsiTheme="majorBidi" w:cstheme="majorBidi"/>
                <w:lang w:val="ro-MD"/>
              </w:rPr>
              <w:t xml:space="preserve">[...] Curtea a constatat că prezența într-un centru de detenție a unui copil care însoțește părinții săi va fi conformă </w:t>
            </w:r>
            <w:r w:rsidRPr="009C3A85">
              <w:rPr>
                <w:rFonts w:asciiTheme="majorBidi" w:hAnsiTheme="majorBidi" w:cstheme="majorBidi"/>
                <w:lang w:val="ro-MD"/>
              </w:rPr>
              <w:lastRenderedPageBreak/>
              <w:t>Articolului 5 § 1 (f) numai în cazul în care autoritățile naționale pot stabili că o astfel de măsură de ultimă instanță a fost luată după verificarea faptului că nicio altă măsură care să implice o restricție mai blândă a libertății lor nu a putut fi aplicată.</w:t>
            </w:r>
          </w:p>
          <w:p w14:paraId="362A35E3" w14:textId="5E80642F" w:rsidR="00CE4E9D" w:rsidRPr="009C3A85" w:rsidRDefault="00CE4E9D" w:rsidP="00B86C6A">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43. În prezenta cauză, instanțele naționale nu au analizat dacă luarea copiilor în custodie publică a fost o măsură de ultimă instanță, în modul prevăzut de lege, deoarece ele nu au examinat în mod particular situația copiilor. În special, instanțele nici măcar nu l-au audiat pe cel mai mare reclamant, M.I., care avea la acea vreme 14 ani și înțelegea bine situația. Instanțele nu au luat în considerare dacă familia putea fi plasată împreună în afara oricărui centru de detenție sau găzduită într-o altă instituție, precum CPTSA. De altfel, avocatul primei reclamante a solicitat în mod expres BMA să transfere familia la acea instituție, cel puțin după 28 martie 2017, atunci când prima reclamantă depusese cererea de azil. Înainte de a răspunde, BMA a așteptat până ca măsura de luare în custodie să fie prelungită și nu există nicio dovadă că ar fi informat instanța despre schimbarea situației primei reclamante, în calitate de solicitant de azil. </w:t>
            </w:r>
          </w:p>
          <w:p w14:paraId="3F7E1606" w14:textId="1F114FC6" w:rsidR="0087236C" w:rsidRPr="009C3A85" w:rsidRDefault="00CE4E9D" w:rsidP="00B86C6A">
            <w:pPr>
              <w:spacing w:after="120" w:line="276" w:lineRule="auto"/>
              <w:jc w:val="both"/>
              <w:rPr>
                <w:rFonts w:asciiTheme="majorBidi" w:hAnsiTheme="majorBidi" w:cstheme="majorBidi"/>
                <w:lang w:val="ro-MD"/>
              </w:rPr>
            </w:pPr>
            <w:r w:rsidRPr="009C3A85">
              <w:rPr>
                <w:rFonts w:asciiTheme="majorBidi" w:hAnsiTheme="majorBidi" w:cstheme="majorBidi"/>
                <w:lang w:val="ro-MD"/>
              </w:rPr>
              <w:t>44.  De asemenea, nu s-a analizat dacă CPTS dispunea de condiții adecvate pentru adăpostirea familiilor cu copii minori, în special în privința contactelor cu semenii lor, a activităților recreative și a altor activități etc. În mod special, se pare că până în 2020 CPTS nu dispunea de câțiva angajați importanți pentru bunăstarea tinerilor, cum ar fi un psiholog și personal medical. În plus, nu a fost contestat faptul că minorii nu au avut nicio oportunitate de a comunica cu semenii lor sau de a participa la activități recreative.</w:t>
            </w:r>
          </w:p>
        </w:tc>
        <w:tc>
          <w:tcPr>
            <w:tcW w:w="1422" w:type="dxa"/>
            <w:tcBorders>
              <w:top w:val="nil"/>
              <w:bottom w:val="nil"/>
            </w:tcBorders>
          </w:tcPr>
          <w:p w14:paraId="122F5509" w14:textId="4F3220C0" w:rsidR="00855D44" w:rsidRPr="009C3A85" w:rsidRDefault="00855D44"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Primul reclamant: inadmisibil</w:t>
            </w:r>
          </w:p>
          <w:p w14:paraId="29700EE0" w14:textId="77777777" w:rsidR="0087236C" w:rsidRPr="009C3A85" w:rsidRDefault="00855D44"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Al doilea, al treilea și al patrulea reclamant: încălcare</w:t>
            </w:r>
          </w:p>
          <w:p w14:paraId="631FC8BB" w14:textId="60B348F7" w:rsidR="00C82682" w:rsidRPr="009C3A85" w:rsidRDefault="00C82682" w:rsidP="00EF6956">
            <w:pPr>
              <w:spacing w:after="120" w:line="276" w:lineRule="auto"/>
              <w:rPr>
                <w:rFonts w:asciiTheme="majorBidi" w:hAnsiTheme="majorBidi" w:cstheme="majorBidi"/>
                <w:lang w:val="ro-MD"/>
              </w:rPr>
            </w:pPr>
            <w:r w:rsidRPr="009C3A85">
              <w:rPr>
                <w:rFonts w:asciiTheme="majorBidi" w:hAnsiTheme="majorBidi" w:cstheme="majorBidi"/>
                <w:lang w:val="ro-MD"/>
              </w:rPr>
              <w:t>Solidar: 10 000 EUR</w:t>
            </w:r>
            <w:r w:rsidR="00E14D87" w:rsidRPr="009C3A85">
              <w:rPr>
                <w:rFonts w:asciiTheme="majorBidi" w:hAnsiTheme="majorBidi" w:cstheme="majorBidi"/>
                <w:lang w:val="ro-MD"/>
              </w:rPr>
              <w:t xml:space="preserve"> (moral)</w:t>
            </w:r>
          </w:p>
        </w:tc>
      </w:tr>
      <w:tr w:rsidR="003A3A77" w:rsidRPr="002904F1" w14:paraId="2F7B7468" w14:textId="77777777" w:rsidTr="0038457E">
        <w:tc>
          <w:tcPr>
            <w:tcW w:w="1345" w:type="dxa"/>
            <w:tcBorders>
              <w:top w:val="nil"/>
              <w:bottom w:val="single" w:sz="4" w:space="0" w:color="auto"/>
            </w:tcBorders>
          </w:tcPr>
          <w:p w14:paraId="3D8CB614" w14:textId="77777777" w:rsidR="003A3A77" w:rsidRDefault="003A3A77" w:rsidP="003A3A77">
            <w:pPr>
              <w:spacing w:after="120" w:line="276" w:lineRule="auto"/>
              <w:jc w:val="center"/>
              <w:rPr>
                <w:rFonts w:asciiTheme="majorBidi" w:hAnsiTheme="majorBidi" w:cstheme="majorBidi"/>
                <w:lang w:val="ro-MD"/>
              </w:rPr>
            </w:pPr>
            <w:r w:rsidRPr="009C3A85">
              <w:rPr>
                <w:rFonts w:asciiTheme="majorBidi" w:hAnsiTheme="majorBidi" w:cstheme="majorBidi"/>
                <w:lang w:val="ro-MD"/>
              </w:rPr>
              <w:lastRenderedPageBreak/>
              <w:t>5</w:t>
            </w:r>
            <w:r w:rsidRPr="009C3A85">
              <w:rPr>
                <w:rFonts w:asciiTheme="majorBidi" w:hAnsiTheme="majorBidi" w:cstheme="majorBidi"/>
                <w:color w:val="000000"/>
                <w:shd w:val="clear" w:color="auto" w:fill="FFFFFF"/>
                <w:lang w:val="ro-MD"/>
              </w:rPr>
              <w:t>§</w:t>
            </w:r>
            <w:r w:rsidRPr="009C3A85">
              <w:rPr>
                <w:rFonts w:asciiTheme="majorBidi" w:hAnsiTheme="majorBidi" w:cstheme="majorBidi"/>
                <w:lang w:val="ro-MD"/>
              </w:rPr>
              <w:t>4</w:t>
            </w:r>
          </w:p>
          <w:p w14:paraId="6C5AA8FF" w14:textId="67D9BB26" w:rsidR="0053552D" w:rsidRPr="00C173A8" w:rsidRDefault="00C173A8" w:rsidP="003A3A77">
            <w:pPr>
              <w:spacing w:after="120" w:line="276" w:lineRule="auto"/>
              <w:jc w:val="center"/>
              <w:rPr>
                <w:rFonts w:asciiTheme="majorBidi" w:hAnsiTheme="majorBidi" w:cstheme="majorBidi"/>
                <w:lang w:val="ro-RO"/>
              </w:rPr>
            </w:pPr>
            <w:r>
              <w:rPr>
                <w:rFonts w:asciiTheme="majorBidi" w:hAnsiTheme="majorBidi" w:cstheme="majorBidi"/>
                <w:lang w:val="ro-MD"/>
              </w:rPr>
              <w:t>Controlul judec</w:t>
            </w:r>
            <w:r>
              <w:rPr>
                <w:rFonts w:asciiTheme="majorBidi" w:hAnsiTheme="majorBidi" w:cstheme="majorBidi"/>
                <w:lang w:val="ro-RO"/>
              </w:rPr>
              <w:t>ătoresc asupra legalității detenției</w:t>
            </w:r>
          </w:p>
        </w:tc>
        <w:tc>
          <w:tcPr>
            <w:tcW w:w="1260" w:type="dxa"/>
            <w:tcBorders>
              <w:top w:val="nil"/>
              <w:bottom w:val="single" w:sz="4" w:space="0" w:color="auto"/>
            </w:tcBorders>
          </w:tcPr>
          <w:p w14:paraId="6D121CF8" w14:textId="3D6B90D7" w:rsidR="003A3A77" w:rsidRPr="009C3A85" w:rsidRDefault="003A3A77" w:rsidP="00EF6956">
            <w:pPr>
              <w:spacing w:after="120" w:line="276" w:lineRule="auto"/>
              <w:jc w:val="center"/>
              <w:rPr>
                <w:rFonts w:asciiTheme="majorBidi" w:hAnsiTheme="majorBidi" w:cstheme="majorBidi"/>
                <w:lang w:val="ro-MD"/>
              </w:rPr>
            </w:pPr>
          </w:p>
        </w:tc>
        <w:tc>
          <w:tcPr>
            <w:tcW w:w="2340" w:type="dxa"/>
            <w:tcBorders>
              <w:top w:val="nil"/>
              <w:bottom w:val="single" w:sz="4" w:space="0" w:color="auto"/>
            </w:tcBorders>
          </w:tcPr>
          <w:p w14:paraId="6AEE4A4E" w14:textId="0F0D4EBC" w:rsidR="003A3A77" w:rsidRPr="009C3A85" w:rsidRDefault="00026A34" w:rsidP="00026A34">
            <w:pPr>
              <w:spacing w:after="120" w:line="276" w:lineRule="auto"/>
              <w:jc w:val="both"/>
              <w:rPr>
                <w:rFonts w:asciiTheme="majorBidi" w:hAnsiTheme="majorBidi" w:cstheme="majorBidi"/>
                <w:lang w:val="ro-MD"/>
              </w:rPr>
            </w:pPr>
            <w:r w:rsidRPr="009C3A85">
              <w:rPr>
                <w:rFonts w:asciiTheme="majorBidi" w:hAnsiTheme="majorBidi" w:cstheme="majorBidi"/>
                <w:lang w:val="ro-MD"/>
              </w:rPr>
              <w:t>Imposibilitatea copiilor de a contesta legalitatea detenției lor</w:t>
            </w:r>
          </w:p>
        </w:tc>
        <w:tc>
          <w:tcPr>
            <w:tcW w:w="7470" w:type="dxa"/>
            <w:tcBorders>
              <w:top w:val="nil"/>
              <w:bottom w:val="single" w:sz="4" w:space="0" w:color="auto"/>
            </w:tcBorders>
          </w:tcPr>
          <w:p w14:paraId="0F6F3A52" w14:textId="0A0FDCA9" w:rsidR="00280364" w:rsidRPr="009C3A85" w:rsidRDefault="00280364" w:rsidP="00280364">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52. Curtea observă că prima reclamantă a avut posibilitatea să conteste detenția sa în fața instanțelor naționale. Cu toate acestea, ea se referă la constatarea sa, potrivit căreia decizia BMA nu menționa cel de-al doilea, al treilea și al patrulea reclamant, și că hotărârile judecătorești au analizat doar situația primei reclamante, menționându-i pe copiii ei doar ca însoțind-o pe ea în detenție. În lipsa unei hotărâri prin care să se constate că minorii se aflau într-una din situațiile descrise în mod </w:t>
            </w:r>
            <w:r w:rsidRPr="009C3A85">
              <w:rPr>
                <w:rFonts w:asciiTheme="majorBidi" w:hAnsiTheme="majorBidi" w:cstheme="majorBidi"/>
                <w:lang w:val="ro-MD"/>
              </w:rPr>
              <w:lastRenderedPageBreak/>
              <w:t>exhaustiv la art. 64 alin. (1) din Legea nr. 200 și a unor hotărâri judecătorești care să motiveze luarea lor în custodie publică, cel de-al doilea, al treilea și al patrulea reclamant nu au avut posibilitatea să conteste detenția lor în mod corespunzător. Astfel, ei s-au aflat într-o incertitudine legală timp de mai mult de o lună, fără a avea la dispoziție un remediu efectiv.</w:t>
            </w:r>
            <w:r w:rsidR="00E75D0E" w:rsidRPr="009C3A85">
              <w:rPr>
                <w:rFonts w:asciiTheme="majorBidi" w:hAnsiTheme="majorBidi" w:cstheme="majorBidi"/>
                <w:lang w:val="ro-MD"/>
              </w:rPr>
              <w:t xml:space="preserve"> </w:t>
            </w:r>
            <w:r w:rsidRPr="009C3A85">
              <w:rPr>
                <w:rFonts w:asciiTheme="majorBidi" w:hAnsiTheme="majorBidi" w:cstheme="majorBidi"/>
                <w:lang w:val="ro-MD"/>
              </w:rPr>
              <w:t xml:space="preserve">Cu alte cuvinte, detenția sau eliberarea copiilor minori depindea în întregime de situația juridică a mamei lor. </w:t>
            </w:r>
          </w:p>
          <w:p w14:paraId="52A5880C" w14:textId="24E4667A" w:rsidR="003A3A77" w:rsidRPr="009C3A85" w:rsidRDefault="00280364" w:rsidP="00280364">
            <w:pPr>
              <w:spacing w:after="120" w:line="276" w:lineRule="auto"/>
              <w:jc w:val="both"/>
              <w:rPr>
                <w:rFonts w:asciiTheme="majorBidi" w:hAnsiTheme="majorBidi" w:cstheme="majorBidi"/>
                <w:lang w:val="ro-MD"/>
              </w:rPr>
            </w:pPr>
            <w:r w:rsidRPr="009C3A85">
              <w:rPr>
                <w:rFonts w:asciiTheme="majorBidi" w:hAnsiTheme="majorBidi" w:cstheme="majorBidi"/>
                <w:lang w:val="ro-MD"/>
              </w:rPr>
              <w:t>53.  Astfel, Curtea constată că celui de-al doilea, al treilea și al patrulea reclamant nu li s-a garantat protecția oferită în baza Convenției.</w:t>
            </w:r>
          </w:p>
        </w:tc>
        <w:tc>
          <w:tcPr>
            <w:tcW w:w="1422" w:type="dxa"/>
            <w:tcBorders>
              <w:top w:val="nil"/>
              <w:bottom w:val="single" w:sz="4" w:space="0" w:color="auto"/>
            </w:tcBorders>
          </w:tcPr>
          <w:p w14:paraId="33611BFC" w14:textId="77777777" w:rsidR="003A3A77" w:rsidRPr="009C3A85" w:rsidRDefault="003A3A77" w:rsidP="00EF6956">
            <w:pPr>
              <w:spacing w:after="120" w:line="276" w:lineRule="auto"/>
              <w:rPr>
                <w:rFonts w:asciiTheme="majorBidi" w:hAnsiTheme="majorBidi" w:cstheme="majorBidi"/>
                <w:lang w:val="ro-MD"/>
              </w:rPr>
            </w:pPr>
          </w:p>
        </w:tc>
      </w:tr>
      <w:tr w:rsidR="00804D00" w:rsidRPr="002904F1" w14:paraId="52AA219B" w14:textId="77777777" w:rsidTr="00DC3BE4">
        <w:tc>
          <w:tcPr>
            <w:tcW w:w="13837" w:type="dxa"/>
            <w:gridSpan w:val="5"/>
            <w:tcBorders>
              <w:bottom w:val="single" w:sz="4" w:space="0" w:color="auto"/>
            </w:tcBorders>
            <w:shd w:val="clear" w:color="auto" w:fill="F0FFFF"/>
          </w:tcPr>
          <w:p w14:paraId="6B6667D4" w14:textId="082E4A74" w:rsidR="00804D00" w:rsidRPr="009C3A85" w:rsidRDefault="00804D00" w:rsidP="00EF6956">
            <w:pPr>
              <w:pStyle w:val="1"/>
              <w:spacing w:line="276" w:lineRule="auto"/>
              <w:outlineLvl w:val="0"/>
            </w:pPr>
            <w:bookmarkStart w:id="4" w:name="_Toc213590708"/>
            <w:r w:rsidRPr="009C3A85">
              <w:t>Articolul 6. Dreptul la un proces echitabil</w:t>
            </w:r>
            <w:bookmarkEnd w:id="4"/>
          </w:p>
        </w:tc>
      </w:tr>
      <w:tr w:rsidR="0087236C" w:rsidRPr="009C3A85" w14:paraId="7BA9AC9D" w14:textId="77777777" w:rsidTr="0038457E">
        <w:tc>
          <w:tcPr>
            <w:tcW w:w="1345" w:type="dxa"/>
            <w:tcBorders>
              <w:bottom w:val="single" w:sz="4" w:space="0" w:color="auto"/>
            </w:tcBorders>
          </w:tcPr>
          <w:p w14:paraId="11F19027" w14:textId="7B33D5A5"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6</w:t>
            </w:r>
            <w:r w:rsidRPr="009C3A85">
              <w:rPr>
                <w:rFonts w:asciiTheme="majorBidi" w:hAnsiTheme="majorBidi" w:cstheme="majorBidi"/>
                <w:color w:val="000000"/>
                <w:shd w:val="clear" w:color="auto" w:fill="FFFFFF"/>
                <w:lang w:val="ro-MD"/>
              </w:rPr>
              <w:t>§1</w:t>
            </w:r>
          </w:p>
          <w:p w14:paraId="1C2B5634" w14:textId="0E73F7AE"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Acces la o instanță</w:t>
            </w:r>
          </w:p>
        </w:tc>
        <w:tc>
          <w:tcPr>
            <w:tcW w:w="1260" w:type="dxa"/>
            <w:tcBorders>
              <w:bottom w:val="single" w:sz="4" w:space="0" w:color="auto"/>
            </w:tcBorders>
          </w:tcPr>
          <w:p w14:paraId="4596BED7" w14:textId="77777777"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15.03.2022</w:t>
            </w:r>
            <w:r w:rsidRPr="009C3A85">
              <w:rPr>
                <w:rFonts w:asciiTheme="majorBidi" w:hAnsiTheme="majorBidi" w:cstheme="majorBidi"/>
                <w:lang w:val="ro-MD"/>
              </w:rPr>
              <w:br/>
            </w:r>
            <w:hyperlink r:id="rId13" w:history="1">
              <w:r w:rsidRPr="009C3A85">
                <w:rPr>
                  <w:rStyle w:val="a4"/>
                  <w:rFonts w:asciiTheme="majorBidi" w:hAnsiTheme="majorBidi" w:cstheme="majorBidi"/>
                  <w:lang w:val="ro-MD"/>
                </w:rPr>
                <w:t>Grzęda c. Poloniei  [MC]</w:t>
              </w:r>
            </w:hyperlink>
          </w:p>
        </w:tc>
        <w:tc>
          <w:tcPr>
            <w:tcW w:w="2340" w:type="dxa"/>
            <w:tcBorders>
              <w:bottom w:val="single" w:sz="4" w:space="0" w:color="auto"/>
            </w:tcBorders>
          </w:tcPr>
          <w:p w14:paraId="43240F8D" w14:textId="1B1A8633" w:rsidR="0087236C" w:rsidRPr="009C3A85" w:rsidRDefault="0087236C" w:rsidP="008A2033">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Lipsa controlului judecătoresc privind încetarea prematură ex lege, ulterior reformei legislative, a mandatului de membru al Consiliului Național al Magistraturii (KRS) deținut de un judecător în funcție la Curtea Administrativă Supremă; contestație reală și serioasă privind dreptul, conform legislației naționale, de a exercita până la final mandatul de membru judecător al KRS; prima condiție a criteriilor Eskelinen care trebuie clarificată astfel încât să </w:t>
            </w:r>
            <w:r w:rsidRPr="009C3A85">
              <w:rPr>
                <w:rFonts w:asciiTheme="majorBidi" w:hAnsiTheme="majorBidi" w:cstheme="majorBidi"/>
                <w:lang w:val="ro-MD"/>
              </w:rPr>
              <w:lastRenderedPageBreak/>
              <w:t xml:space="preserve">includă excluderea implicită, în legislația națională, a accesului la o instanță în cazul judecătorilor; a doua condiție a criteriilor Eskelinen nu este îndeplinită deoarece excluderea reclamantului de la accesul la o instanță nu a fost justificată pentru motive obiective în interesul statului, având în vedere impactul negativ al reformei asupra independenței KRS; independența justiției trebuie înțeleasă în mod incluziv și aplicată nu doar judecătorilor în rolul lor judiciar, ci și celor în rolul de membru într-un consiliu al magistraturii; necesitatea de a proteja independența consiliului magistraturii față de puterile executivă și legislativă pentru a garanta </w:t>
            </w:r>
            <w:r w:rsidRPr="009C3A85">
              <w:rPr>
                <w:rFonts w:asciiTheme="majorBidi" w:hAnsiTheme="majorBidi" w:cstheme="majorBidi"/>
                <w:lang w:val="ro-MD"/>
              </w:rPr>
              <w:lastRenderedPageBreak/>
              <w:t>integritatea procesului de numire a judecătorilor; necesitatea de a avea disponibile, în cazurile de revocare a membrilor consiliului magistraturii, garanții procedurale similare celor din cazurile de destituire sau revocare a judecătorilor; reforme succesive în Polonia care au avut ca rezultat slăbirea independenței justiției și a respectării statului de drept; atingere adusă înseși esenței dreptului de acces la o instanță</w:t>
            </w:r>
          </w:p>
        </w:tc>
        <w:tc>
          <w:tcPr>
            <w:tcW w:w="7470" w:type="dxa"/>
            <w:tcBorders>
              <w:bottom w:val="single" w:sz="4" w:space="0" w:color="auto"/>
            </w:tcBorders>
          </w:tcPr>
          <w:p w14:paraId="76A2965E" w14:textId="389FA9FC" w:rsidR="006D7314" w:rsidRPr="009C3A85" w:rsidRDefault="006D7314" w:rsidP="00535C1A">
            <w:pPr>
              <w:spacing w:after="120" w:line="276" w:lineRule="auto"/>
              <w:jc w:val="both"/>
              <w:rPr>
                <w:rFonts w:asciiTheme="majorBidi" w:hAnsiTheme="majorBidi" w:cstheme="majorBidi"/>
                <w:b/>
                <w:bCs/>
                <w:lang w:val="ro-MD"/>
              </w:rPr>
            </w:pPr>
            <w:r w:rsidRPr="009C3A85">
              <w:rPr>
                <w:rFonts w:asciiTheme="majorBidi" w:hAnsiTheme="majorBidi" w:cstheme="majorBidi"/>
                <w:b/>
                <w:bCs/>
                <w:lang w:val="ro-MD"/>
              </w:rPr>
              <w:lastRenderedPageBreak/>
              <w:t>Cu privire la admisibilitate</w:t>
            </w:r>
          </w:p>
          <w:p w14:paraId="604904EF" w14:textId="3A327768" w:rsidR="006D7314" w:rsidRPr="009C3A85" w:rsidRDefault="00AC5B6B"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265.  Curtea observă că prezenta cauză ridică o problemă nouă, și anume întrebarea dacă art. 6 § 1 sub aspect civil este aplicabil unui litigiu care rezultă din încetarea prematură a mandatului reclamantului în calitate de membru judecător al KRS, acesta rămânând totuși cu funcția de judecător.</w:t>
            </w:r>
          </w:p>
          <w:p w14:paraId="3D1BB316" w14:textId="0396FFA5" w:rsidR="00AC5B6B" w:rsidRPr="009C3A85" w:rsidRDefault="00AC5B6B"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(α) Existența unui drept</w:t>
            </w:r>
          </w:p>
          <w:p w14:paraId="36224CA3" w14:textId="5185E1AE" w:rsidR="00AC5B6B" w:rsidRPr="009C3A85" w:rsidRDefault="00AA3935"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w:t>
            </w:r>
          </w:p>
          <w:p w14:paraId="3A5D9A86" w14:textId="535B60D6" w:rsidR="00AA3935" w:rsidRPr="009C3A85" w:rsidRDefault="00AA3935"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285.  Curtea consideră că faptul că încetarea </w:t>
            </w:r>
            <w:r w:rsidRPr="009C3A85">
              <w:rPr>
                <w:rFonts w:asciiTheme="majorBidi" w:hAnsiTheme="majorBidi" w:cstheme="majorBidi"/>
                <w:i/>
                <w:iCs/>
                <w:lang w:val="ro-MD"/>
              </w:rPr>
              <w:t>ex lege</w:t>
            </w:r>
            <w:r w:rsidRPr="009C3A85">
              <w:rPr>
                <w:rFonts w:asciiTheme="majorBidi" w:hAnsiTheme="majorBidi" w:cstheme="majorBidi"/>
                <w:lang w:val="ro-MD"/>
              </w:rPr>
              <w:t xml:space="preserve"> a mandatului reclamantului la data alegerii noilor membri ai KRS nu poate fi considerată ca înlăturând, retroactiv, caracterul întemeiat al dreptului pe care acesta îl putea revendica în temeiul normelor în vigoare la data alegerii sale. Astfel cum s-a menționat mai sus, aceste norme au prevăzut în mod clar un termen de 4 ani și au enumerat în mod exhaustiv motivele specifice pentru încetare. Întrucât noua legislație (Legea de modificare din 2017) a fost cea care a anulat normele anterioare, aceasta a constituit obiectul însuși al acestui litigiu în privința căruia garanțiile unui proces echitabil prevăzute de art. 6 § 1 trebuie să se aplice în mod întemeiat. În circumstanțele prezentei cauze, chestiunea dacă exista un drept în temeiul legislației naționale nu poate fi așadar soluționată în baza noii legislații.</w:t>
            </w:r>
          </w:p>
          <w:p w14:paraId="182FB5F7" w14:textId="2F0933FA" w:rsidR="00AA3935" w:rsidRPr="009C3A85" w:rsidRDefault="00AA3935"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286.  Având în vedere cele de mai sus, Curtea constată că în prezenta cauză a existat un litigiu real și serios cu privire la un drept, și anume acela de a exercita un mandat complet de 4 ani în calitate de membru judecător al KRS, pe care reclamantul îl putea revendica pentru motive întemeiate în legislația națională</w:t>
            </w:r>
            <w:r w:rsidR="005B365B" w:rsidRPr="009C3A85">
              <w:rPr>
                <w:rFonts w:asciiTheme="majorBidi" w:hAnsiTheme="majorBidi" w:cstheme="majorBidi"/>
                <w:lang w:val="ro-MD"/>
              </w:rPr>
              <w:t>.</w:t>
            </w:r>
          </w:p>
          <w:p w14:paraId="20860127" w14:textId="2CC29233" w:rsidR="00AC5B6B" w:rsidRPr="009C3A85" w:rsidRDefault="00AC5B6B"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(β) Caracterul civil al dreptului: criteriile Eskelinen</w:t>
            </w:r>
          </w:p>
          <w:p w14:paraId="1D0287B0" w14:textId="666B4965" w:rsidR="00AC5B6B" w:rsidRPr="009C3A85" w:rsidRDefault="00EF1BE3"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287.  Următoarea chestiune care trebuie soluționată este dacă dreptul revendicat de reclamant avea caracter „civil” în sensul autonom al art. 6 § 1. Curtea reiterează că noțiunea de „drepturi și obligații cu caracter civil” nu poate fi interpretată numai prin referire la legislația națională a statului pârât; aceasta este una autonomă, care derivă din Convenție.</w:t>
            </w:r>
          </w:p>
          <w:p w14:paraId="3CEBA0DA" w14:textId="7FEBFECD" w:rsidR="00EA7DA8" w:rsidRPr="009C3A85" w:rsidRDefault="00EA7DA8"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w:t>
            </w:r>
          </w:p>
          <w:p w14:paraId="4142C1E6" w14:textId="3CE8DD45" w:rsidR="006206F7" w:rsidRPr="009C3A85" w:rsidRDefault="006206F7" w:rsidP="00535C1A">
            <w:pPr>
              <w:spacing w:after="120" w:line="276" w:lineRule="auto"/>
              <w:jc w:val="both"/>
              <w:rPr>
                <w:rFonts w:asciiTheme="majorBidi" w:hAnsiTheme="majorBidi" w:cstheme="majorBidi"/>
                <w:lang w:val="ro-MD"/>
              </w:rPr>
            </w:pPr>
            <w:r w:rsidRPr="009C3A85">
              <w:rPr>
                <w:rFonts w:asciiTheme="majorBidi" w:hAnsiTheme="majorBidi" w:cstheme="majorBidi"/>
                <w:i/>
                <w:iCs/>
                <w:lang w:val="ro-MD"/>
              </w:rPr>
              <w:t>‒ Prima condiție a criteriilor</w:t>
            </w:r>
            <w:r w:rsidRPr="009C3A85">
              <w:rPr>
                <w:rFonts w:asciiTheme="majorBidi" w:hAnsiTheme="majorBidi" w:cstheme="majorBidi"/>
                <w:lang w:val="ro-MD"/>
              </w:rPr>
              <w:t xml:space="preserve"> Eskelinen</w:t>
            </w:r>
          </w:p>
          <w:p w14:paraId="15100D5A" w14:textId="41805E7C" w:rsidR="00DB4FE5" w:rsidRPr="009C3A85" w:rsidRDefault="00366832"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w:t>
            </w:r>
          </w:p>
          <w:p w14:paraId="3D4BA28E" w14:textId="77777777" w:rsidR="000B55DE" w:rsidRPr="009C3A85" w:rsidRDefault="000B55DE"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292.  Curtea consideră că aplicarea directă a primei condiții nu ar fi în totalitate adecvată în toate situațiile. Prin urmare, este dispusă să admită că prima condiție poate fi considerată îndeplinită atunci când, chiar și în lipsa unei dispoziții explicite în acest sens, s-a demonstrat în mod clar că legislația națională exclude accesul la o instanță pentru tipul de litigiu respectiv. Astfel, în primul rând, această condiție este îndeplinită atunci când legislația națională prevede o excludere explicită de la accesul la o instanță. În al doilea rând, aceeași condiție poate fi îndeplinită și în cazul în care excluderea în discuție are un caracter implicit, în special atunci când rezultă dintr-o interpretare sistemică a cadrului legal aplicabil sau a întregului corpus legislativ.</w:t>
            </w:r>
          </w:p>
          <w:p w14:paraId="509C265B" w14:textId="246389C8" w:rsidR="000B55DE" w:rsidRPr="009C3A85" w:rsidRDefault="000B55DE"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w:t>
            </w:r>
          </w:p>
          <w:p w14:paraId="7AFEDEFB" w14:textId="19A98058" w:rsidR="000B55DE" w:rsidRPr="009C3A85" w:rsidRDefault="000B55DE"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294.  Curtea observă că părțile au opinii contrare cu privire la îndeplinirea, în speță, a primei condiții a criteriilor Eskelinen. Consideră că această chestiune poate fi </w:t>
            </w:r>
            <w:r w:rsidRPr="009C3A85">
              <w:rPr>
                <w:rFonts w:asciiTheme="majorBidi" w:hAnsiTheme="majorBidi" w:cstheme="majorBidi"/>
                <w:lang w:val="ro-MD"/>
              </w:rPr>
              <w:lastRenderedPageBreak/>
              <w:t>lăsată deschisă întrucât, în orice caz, pentru motivele expuse mai jos, a doua condiție nu a fost îndeplinită.</w:t>
            </w:r>
          </w:p>
          <w:p w14:paraId="58BF50F9" w14:textId="2B1D9EE3" w:rsidR="006206F7" w:rsidRPr="009C3A85" w:rsidRDefault="006206F7" w:rsidP="00535C1A">
            <w:pPr>
              <w:spacing w:after="120" w:line="276" w:lineRule="auto"/>
              <w:jc w:val="both"/>
              <w:rPr>
                <w:rFonts w:asciiTheme="majorBidi" w:hAnsiTheme="majorBidi" w:cstheme="majorBidi"/>
                <w:lang w:val="ro-MD"/>
              </w:rPr>
            </w:pPr>
            <w:r w:rsidRPr="009C3A85">
              <w:rPr>
                <w:rFonts w:asciiTheme="majorBidi" w:hAnsiTheme="majorBidi" w:cstheme="majorBidi"/>
                <w:i/>
                <w:iCs/>
                <w:lang w:val="ro-MD"/>
              </w:rPr>
              <w:t>‒ A doua condiție a criteriilor</w:t>
            </w:r>
            <w:r w:rsidRPr="009C3A85">
              <w:rPr>
                <w:rFonts w:asciiTheme="majorBidi" w:hAnsiTheme="majorBidi" w:cstheme="majorBidi"/>
                <w:lang w:val="ro-MD"/>
              </w:rPr>
              <w:t xml:space="preserve"> Eskelinen</w:t>
            </w:r>
          </w:p>
          <w:p w14:paraId="2A6540DC" w14:textId="0E51CD86" w:rsidR="00366832" w:rsidRPr="009C3A85" w:rsidRDefault="00366832"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w:t>
            </w:r>
          </w:p>
          <w:p w14:paraId="2C3CBD16" w14:textId="77777777" w:rsidR="00535C1A" w:rsidRPr="009C3A85" w:rsidRDefault="00535C1A"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325.  Având în vedere toate considerațiile care precedă, Curtea concluzionează că nu a fost îndeplinită a doua condiție a criteriilor Eskelinen, și anume ca excluderea reclamantului de la accesul la o instanță să fie justificată de motive obiective în interesul statului.</w:t>
            </w:r>
          </w:p>
          <w:p w14:paraId="68EA53C5" w14:textId="77777777" w:rsidR="00535C1A" w:rsidRPr="009C3A85" w:rsidRDefault="00535C1A"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326.  Mandatul reclamantului de membru judecător ales în cadrul KRS, organul cu responsabilitate constituțională pentru garantarea independenței justiției, a încetat prematur în baza legii, în lipsa unui control judecătoresc privind legalitatea acestei măsuri. Excluderea reclamantului de la o garanție fundamentală pentru protecția unui drept cu caracter civil întemeiat, strâns legat de protecția independenței justiției, nu poate fi considerată ca fiind în interesul unui stat care respectă preeminența dreptului.</w:t>
            </w:r>
          </w:p>
          <w:p w14:paraId="73464F50" w14:textId="624187A6" w:rsidR="00535C1A" w:rsidRPr="009C3A85" w:rsidRDefault="00535C1A"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327.  Membrii corpului judiciar ar trebui să beneficieze – ca și alți cetățeni – de protecție împotriva deciziilor arbitrare din partea puterilor legislativă și executivă și doar controlul efectuat de un organ judiciar independent asupra legalității unei măsuri precum revocarea din funcție poate face ca această protecție să fie eficientă.</w:t>
            </w:r>
          </w:p>
          <w:p w14:paraId="4679CBB9" w14:textId="4AA6A8B2" w:rsidR="006D7314" w:rsidRPr="009C3A85" w:rsidRDefault="006D7314" w:rsidP="00535C1A">
            <w:pPr>
              <w:spacing w:after="120" w:line="276" w:lineRule="auto"/>
              <w:jc w:val="both"/>
              <w:rPr>
                <w:rFonts w:asciiTheme="majorBidi" w:hAnsiTheme="majorBidi" w:cstheme="majorBidi"/>
                <w:b/>
                <w:bCs/>
                <w:lang w:val="ro-MD"/>
              </w:rPr>
            </w:pPr>
            <w:r w:rsidRPr="009C3A85">
              <w:rPr>
                <w:rFonts w:asciiTheme="majorBidi" w:hAnsiTheme="majorBidi" w:cstheme="majorBidi"/>
                <w:b/>
                <w:bCs/>
                <w:lang w:val="ro-MD"/>
              </w:rPr>
              <w:t>Cu privire la fond</w:t>
            </w:r>
          </w:p>
          <w:p w14:paraId="4BE1EEB2" w14:textId="18711D32" w:rsidR="00327AA1" w:rsidRPr="009C3A85" w:rsidRDefault="00327AA1"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344.  Curtea a lăsat deschisă întrebarea dacă a fost îndeplinită prima condiție a criteriilor Eskelinen, ținând seama de opiniile contrare ale părților cu privire la acest aspect și întrucât, în orice caz, a concluzionat că nu a fost îndeplinită a doua condiție. Totuși, Curtea reamintește că Guvernul a susținut în mod constant că, în sensul art. 6 din Convenție, accesul reclamantului la o instanță a fost exclus în orice moment în temeiul legislației naționale, atât înainte de încetarea mandatului său de membru judecător al KRS în temeiul Legii de modificare din 2017, cât și ulterior. Prin urmare, Curtea trebuie în prezent să aprecieze dacă lipsa accesului </w:t>
            </w:r>
            <w:r w:rsidRPr="009C3A85">
              <w:rPr>
                <w:rFonts w:asciiTheme="majorBidi" w:hAnsiTheme="majorBidi" w:cstheme="majorBidi"/>
                <w:lang w:val="ro-MD"/>
              </w:rPr>
              <w:lastRenderedPageBreak/>
              <w:t>reclamantului la instanțele naționale – pentru a obține examinarea litigiului real și serios referitor la dreptul său întemeiat de a exercita un mandat integral de 4 ani în calitate de membru judecător al KRS – a fost justificată în conformitate cu principiile generale din jurisprudența Curții.</w:t>
            </w:r>
          </w:p>
          <w:p w14:paraId="4A42E97B" w14:textId="7ED5B13C" w:rsidR="00327AA1" w:rsidRPr="009C3A85" w:rsidRDefault="00327AA1"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345.  Referindu-se la analiza sa privind problema aplicabilității art. 6 § 1, în special importanța mandatului KRS de garantare a independența justiției și legătura dintre integritatea procesului de numire a judecătorilor și cerința de independență a justiției, Curtea consideră că garanții procedurale similare celor care ar trebui să fie disponibile în cazurile de destituire sau revocare a judecătorilor ar trebui să fie disponibile și în situația în care, precum în prezenta cauză, un membru judecător al KRS a fost revocat funcție.</w:t>
            </w:r>
          </w:p>
          <w:p w14:paraId="0403FF82" w14:textId="77777777" w:rsidR="00327AA1" w:rsidRPr="009C3A85" w:rsidRDefault="00327AA1"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346.  Curtea subliniază, de asemenea, necesitatea de a proteja autonomia unui consiliu al magistraturii, în special în ceea ce privește numirile judecătorilor, împotriva ingerințelor din partea puterilor legislativă și executivă, precum și rolul său de bastion împotriva influenței politice asupra puterii judecătorești. În evaluarea oricărei justificări a excluderii accesului la o instanță în raport cu calitatea de membru al organelor de administrare judiciară, Curtea consideră că este necesar să se țină seama de interesul public puternic pentru menținerea independenței puterii judecătorești și a statului de drept. De asemenea, aceasta ține seama de contextul general al diferitelor reforme întreprinse de Guvernul polonez – dintre care prezenta cauză reflectă un aspect problematic – care au condus la slăbirea independenței justiției și a respectării normelor de preeminență a dreptului.</w:t>
            </w:r>
          </w:p>
          <w:p w14:paraId="286DE051" w14:textId="77777777" w:rsidR="00327AA1" w:rsidRPr="009C3A85" w:rsidRDefault="00327AA1"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347.  În speță, Guvernul nu a prezentat niciun motiv care să justifice lipsa controlului judecătoresc, ci doar a reiterat argumentele referitoare la inaplicabilitatea art. 6 în cauză.</w:t>
            </w:r>
          </w:p>
          <w:p w14:paraId="6C10FE6E" w14:textId="05A38168" w:rsidR="00327AA1" w:rsidRPr="009C3A85" w:rsidRDefault="00327AA1"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348.  Curtea observă că întreaga succesiune de evenimente din Polonia demonstrează foarte clar că reformele succesive în domeniul justiției au vizat slăbirea independenței justiției, începând cu neregulile grave care au afectat alegerea judecătorilor Curții Constituționale în decembrie 2015, apoi, în special, </w:t>
            </w:r>
            <w:r w:rsidRPr="009C3A85">
              <w:rPr>
                <w:rFonts w:asciiTheme="majorBidi" w:hAnsiTheme="majorBidi" w:cstheme="majorBidi"/>
                <w:lang w:val="ro-MD"/>
              </w:rPr>
              <w:lastRenderedPageBreak/>
              <w:t>reorganizarea KRS și înființarea de noi camere în cadrul Curții Supreme, în același timp extinzându-se controlul ministrului Justiției asupra instanțelor și crescând rolul acestuia în materie de disciplină judiciară. În acest moment, Curtea consideră că este important să se facă trimitere la hotărârile sale referitoare la reorganizarea sistemului judiciar polonez, precum și la cauzele soluționate de CJUE și hotărârile pronunțate de Curtea Supremă și, respectiv, Curtea Administrativă Supremă. Ca urmare a reformelor succesive, puterea judecătorească – o ramură autonomă a puterii publice – a fost expusă unor ingerințe din partea puterii executive și puterii legislative și, prin urmare, a slăbit considerabil. Cazul reclamantului este o exemplificare a acestei tendințe generale.</w:t>
            </w:r>
          </w:p>
          <w:p w14:paraId="59757F12" w14:textId="7FF4C405" w:rsidR="00327AA1" w:rsidRPr="009C3A85" w:rsidRDefault="00327AA1" w:rsidP="00535C1A">
            <w:pPr>
              <w:spacing w:after="120" w:line="276" w:lineRule="auto"/>
              <w:jc w:val="both"/>
              <w:rPr>
                <w:rFonts w:asciiTheme="majorBidi" w:hAnsiTheme="majorBidi" w:cstheme="majorBidi"/>
                <w:lang w:val="ro-MD"/>
              </w:rPr>
            </w:pPr>
            <w:r w:rsidRPr="009C3A85">
              <w:rPr>
                <w:rFonts w:asciiTheme="majorBidi" w:hAnsiTheme="majorBidi" w:cstheme="majorBidi"/>
                <w:lang w:val="ro-MD"/>
              </w:rPr>
              <w:t>349.  Având în vedere cele de mai sus, Curtea constată că, din cauza lipsei controlului judecătoresc în speță, statul pârât a încălcat însăși esența dreptului de acces la o instanță al reclamantului.</w:t>
            </w:r>
          </w:p>
        </w:tc>
        <w:tc>
          <w:tcPr>
            <w:tcW w:w="1422" w:type="dxa"/>
            <w:tcBorders>
              <w:bottom w:val="single" w:sz="4" w:space="0" w:color="auto"/>
            </w:tcBorders>
          </w:tcPr>
          <w:p w14:paraId="4389FE04" w14:textId="77777777" w:rsidR="0087236C" w:rsidRPr="009C3A85" w:rsidRDefault="00E95D13"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Constatarea încălcării - satisfacție echitabilă</w:t>
            </w:r>
            <w:r w:rsidR="007A6E26" w:rsidRPr="009C3A85">
              <w:rPr>
                <w:rFonts w:asciiTheme="majorBidi" w:hAnsiTheme="majorBidi" w:cstheme="majorBidi"/>
                <w:lang w:val="ro-MD"/>
              </w:rPr>
              <w:t xml:space="preserve"> suficientă pentru orice prejudiciu moral suferit de reclamant</w:t>
            </w:r>
          </w:p>
          <w:p w14:paraId="0B98B022" w14:textId="00E222F3" w:rsidR="007A6E26" w:rsidRPr="009C3A85" w:rsidRDefault="007A6E26" w:rsidP="00EF6956">
            <w:pPr>
              <w:spacing w:after="120" w:line="276" w:lineRule="auto"/>
              <w:rPr>
                <w:rFonts w:asciiTheme="majorBidi" w:hAnsiTheme="majorBidi" w:cstheme="majorBidi"/>
                <w:lang w:val="ro-MD"/>
              </w:rPr>
            </w:pPr>
            <w:r w:rsidRPr="009C3A85">
              <w:rPr>
                <w:rFonts w:asciiTheme="majorBidi" w:hAnsiTheme="majorBidi" w:cstheme="majorBidi"/>
                <w:lang w:val="ro-MD"/>
              </w:rPr>
              <w:t>30 000 EUR (chelt. de jud.)</w:t>
            </w:r>
          </w:p>
        </w:tc>
      </w:tr>
      <w:tr w:rsidR="00B33875" w:rsidRPr="002904F1" w14:paraId="6F118F33" w14:textId="77777777" w:rsidTr="0038457E">
        <w:tc>
          <w:tcPr>
            <w:tcW w:w="1345" w:type="dxa"/>
            <w:tcBorders>
              <w:bottom w:val="single" w:sz="4" w:space="0" w:color="auto"/>
            </w:tcBorders>
          </w:tcPr>
          <w:p w14:paraId="2B47C794" w14:textId="77777777" w:rsidR="00B33875" w:rsidRPr="009C3A85" w:rsidRDefault="00B33875" w:rsidP="002D1B17">
            <w:pPr>
              <w:spacing w:after="120" w:line="276" w:lineRule="auto"/>
              <w:jc w:val="center"/>
              <w:rPr>
                <w:rFonts w:asciiTheme="majorBidi" w:hAnsiTheme="majorBidi" w:cstheme="majorBidi"/>
                <w:color w:val="000000"/>
                <w:shd w:val="clear" w:color="auto" w:fill="FFFFFF"/>
                <w:lang w:val="ro-MD"/>
              </w:rPr>
            </w:pPr>
            <w:r w:rsidRPr="009C3A85">
              <w:rPr>
                <w:rFonts w:asciiTheme="majorBidi" w:hAnsiTheme="majorBidi" w:cstheme="majorBidi"/>
                <w:lang w:val="ro-MD"/>
              </w:rPr>
              <w:lastRenderedPageBreak/>
              <w:t>6</w:t>
            </w:r>
            <w:r w:rsidRPr="009C3A85">
              <w:rPr>
                <w:rFonts w:asciiTheme="majorBidi" w:hAnsiTheme="majorBidi" w:cstheme="majorBidi"/>
                <w:color w:val="000000"/>
                <w:shd w:val="clear" w:color="auto" w:fill="FFFFFF"/>
                <w:lang w:val="ro-MD"/>
              </w:rPr>
              <w:t>§1</w:t>
            </w:r>
          </w:p>
          <w:p w14:paraId="7BC04DF5" w14:textId="77777777" w:rsidR="00B33875" w:rsidRPr="009C3A85" w:rsidRDefault="00B33875" w:rsidP="002D1B17">
            <w:pPr>
              <w:spacing w:after="120" w:line="276" w:lineRule="auto"/>
              <w:jc w:val="center"/>
              <w:rPr>
                <w:rFonts w:asciiTheme="majorBidi" w:hAnsiTheme="majorBidi" w:cstheme="majorBidi"/>
                <w:lang w:val="ro-MD"/>
              </w:rPr>
            </w:pPr>
            <w:r w:rsidRPr="009C3A85">
              <w:rPr>
                <w:rFonts w:asciiTheme="majorBidi" w:hAnsiTheme="majorBidi" w:cstheme="majorBidi"/>
                <w:lang w:val="ro-MD"/>
              </w:rPr>
              <w:t>Neexecutarea hotărârilor judecătorești</w:t>
            </w:r>
          </w:p>
          <w:p w14:paraId="1B7B9E00" w14:textId="77777777" w:rsidR="00B33875" w:rsidRPr="009C3A85" w:rsidRDefault="00B33875" w:rsidP="002D1B17">
            <w:pPr>
              <w:spacing w:after="120" w:line="276" w:lineRule="auto"/>
              <w:jc w:val="center"/>
              <w:rPr>
                <w:rFonts w:asciiTheme="majorBidi" w:hAnsiTheme="majorBidi" w:cstheme="majorBidi"/>
                <w:lang w:val="ro-MD"/>
              </w:rPr>
            </w:pPr>
          </w:p>
          <w:p w14:paraId="131A929A" w14:textId="3109C173" w:rsidR="00B33875" w:rsidRPr="009C3A85" w:rsidRDefault="00B33875" w:rsidP="002D1B17">
            <w:pPr>
              <w:spacing w:after="120" w:line="276" w:lineRule="auto"/>
              <w:jc w:val="center"/>
              <w:rPr>
                <w:rFonts w:asciiTheme="majorBidi" w:hAnsiTheme="majorBidi" w:cstheme="majorBidi"/>
                <w:b/>
                <w:bCs/>
                <w:lang w:val="ro-MD"/>
              </w:rPr>
            </w:pPr>
            <w:r w:rsidRPr="009C3A85">
              <w:rPr>
                <w:rFonts w:asciiTheme="majorBidi" w:hAnsiTheme="majorBidi" w:cstheme="majorBidi"/>
                <w:color w:val="000000"/>
                <w:shd w:val="clear" w:color="auto" w:fill="FFFFFF"/>
                <w:lang w:val="ro-MD"/>
              </w:rPr>
              <w:t>1 P1</w:t>
            </w:r>
          </w:p>
        </w:tc>
        <w:tc>
          <w:tcPr>
            <w:tcW w:w="1260" w:type="dxa"/>
            <w:tcBorders>
              <w:bottom w:val="nil"/>
            </w:tcBorders>
          </w:tcPr>
          <w:p w14:paraId="7D76CD72" w14:textId="77777777" w:rsidR="00B33875" w:rsidRPr="009C3A85" w:rsidRDefault="00B33875"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03.04.2025</w:t>
            </w:r>
            <w:r w:rsidRPr="009C3A85">
              <w:rPr>
                <w:rFonts w:asciiTheme="majorBidi" w:hAnsiTheme="majorBidi" w:cstheme="majorBidi"/>
                <w:lang w:val="ro-MD"/>
              </w:rPr>
              <w:br/>
            </w:r>
            <w:hyperlink r:id="rId14" w:history="1">
              <w:r w:rsidRPr="009C3A85">
                <w:rPr>
                  <w:rStyle w:val="a4"/>
                  <w:rFonts w:asciiTheme="majorBidi" w:hAnsiTheme="majorBidi" w:cstheme="majorBidi"/>
                  <w:lang w:val="ro-MD"/>
                </w:rPr>
                <w:t>Berliba c. Republicii Moldova</w:t>
              </w:r>
            </w:hyperlink>
          </w:p>
        </w:tc>
        <w:tc>
          <w:tcPr>
            <w:tcW w:w="2340" w:type="dxa"/>
            <w:tcBorders>
              <w:bottom w:val="nil"/>
            </w:tcBorders>
          </w:tcPr>
          <w:p w14:paraId="51B494C2" w14:textId="49B5EBF2" w:rsidR="00B33875" w:rsidRPr="009C3A85" w:rsidRDefault="00B33875" w:rsidP="003944FD">
            <w:pPr>
              <w:spacing w:after="120" w:line="276" w:lineRule="auto"/>
              <w:jc w:val="both"/>
              <w:rPr>
                <w:rFonts w:asciiTheme="majorBidi" w:hAnsiTheme="majorBidi" w:cstheme="majorBidi"/>
                <w:lang w:val="ro-MD"/>
              </w:rPr>
            </w:pPr>
            <w:r w:rsidRPr="009C3A85">
              <w:rPr>
                <w:rFonts w:asciiTheme="majorBidi" w:hAnsiTheme="majorBidi" w:cstheme="majorBidi"/>
                <w:lang w:val="ro-MD"/>
              </w:rPr>
              <w:t>Polițist; spațiu locativ; lipsa fondurilor și a locuințelor alternative; Legea nr. 87 din 2011; despăgubiri corespunzătoare</w:t>
            </w:r>
          </w:p>
        </w:tc>
        <w:tc>
          <w:tcPr>
            <w:tcW w:w="7470" w:type="dxa"/>
            <w:tcBorders>
              <w:bottom w:val="nil"/>
            </w:tcBorders>
          </w:tcPr>
          <w:p w14:paraId="40F40B65" w14:textId="335EF59C" w:rsidR="00B33875" w:rsidRPr="009C3A85" w:rsidRDefault="006F30A9" w:rsidP="006F30A9">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19. </w:t>
            </w:r>
            <w:r w:rsidR="00B33875" w:rsidRPr="009C3A85">
              <w:rPr>
                <w:rFonts w:asciiTheme="majorBidi" w:hAnsiTheme="majorBidi" w:cstheme="majorBidi"/>
                <w:lang w:val="ro-MD"/>
              </w:rPr>
              <w:t>Curtea subliniază faptul că executarea unei hotărâri sau a unei decizii a oricărei instanțe trebuie considerată ca făcând parte integrantă din „proces”, în sensul Articolului 6 din Convenție. Este în primul rând responsabilitatea autorităților statului de a asigura executarea unei hotărâri judecătorești pronunțate împotriva lor, de la data când hotărârea devine obligatorie și executorie.</w:t>
            </w:r>
          </w:p>
          <w:p w14:paraId="53255327" w14:textId="023DCBC6" w:rsidR="00B33875" w:rsidRPr="009C3A85" w:rsidRDefault="006F30A9" w:rsidP="006F30A9">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20. </w:t>
            </w:r>
            <w:r w:rsidR="00B33875" w:rsidRPr="009C3A85">
              <w:rPr>
                <w:rFonts w:asciiTheme="majorBidi" w:hAnsiTheme="majorBidi" w:cstheme="majorBidi"/>
                <w:lang w:val="ro-MD"/>
              </w:rPr>
              <w:t>Curtea observă că hotărârea din 11 iunie 2009 nu prevedea atribuirea unei locuințe în proprietate. Instanțele au obligat autoritățile locale să atribuie o locuință persoanei respective în conformitate cu dispozițiile legale, care prevedeau atribuirea unei locuințe închiriate (pentru folosință temporară), și nu în proprietate privată</w:t>
            </w:r>
            <w:r w:rsidRPr="009C3A85">
              <w:rPr>
                <w:rFonts w:asciiTheme="majorBidi" w:hAnsiTheme="majorBidi" w:cstheme="majorBidi"/>
                <w:lang w:val="ro-MD"/>
              </w:rPr>
              <w:t xml:space="preserve"> </w:t>
            </w:r>
            <w:r w:rsidR="00B33875" w:rsidRPr="009C3A85">
              <w:rPr>
                <w:rFonts w:asciiTheme="majorBidi" w:hAnsiTheme="majorBidi" w:cstheme="majorBidi"/>
                <w:lang w:val="ro-MD"/>
              </w:rPr>
              <w:t xml:space="preserve">În prezenta cauză perioada de neexecutare a hotărârii judecătorești care trebuie luată în considerare a început la data de 9 septembrie 2009, odată cu emiterea titlului executoriu în vederea obligării autorităților de a-i acorda reclamantului un spațiu locativ, și s-a încheiat la 19 februarie 2016, dată la care reclamantul a părăsit funcția publică. Curtea reiterează că o autoritate de stat nu poate justifica neexecutarea unei hotărâri judecătorești prin lipsa fondurilor și a locuințelor alternative. De asemenea, Curtea reține că hotărârea judecătorească </w:t>
            </w:r>
            <w:r w:rsidR="00B33875" w:rsidRPr="009C3A85">
              <w:rPr>
                <w:rFonts w:asciiTheme="majorBidi" w:hAnsiTheme="majorBidi" w:cstheme="majorBidi"/>
                <w:lang w:val="ro-MD"/>
              </w:rPr>
              <w:lastRenderedPageBreak/>
              <w:t xml:space="preserve">pronunțată în favoarea reclamantului nu a fost executată mai mult de șase ani și că nu ia fost acordată nicio despăgubire la nivel național. Acest element constituie un rezultat vădit nerezonabil în raport cu jurisprudența sa. </w:t>
            </w:r>
          </w:p>
          <w:p w14:paraId="17BBCA8B" w14:textId="3054F689" w:rsidR="00B33875" w:rsidRPr="009C3A85" w:rsidRDefault="00F46F44" w:rsidP="006F30A9">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21. </w:t>
            </w:r>
            <w:r w:rsidR="00B33875" w:rsidRPr="009C3A85">
              <w:rPr>
                <w:rFonts w:asciiTheme="majorBidi" w:hAnsiTheme="majorBidi" w:cstheme="majorBidi"/>
                <w:lang w:val="ro-MD"/>
              </w:rPr>
              <w:t>Examinând toate elementele care i-au fost prezentate, Curtea nu vede niciun fapt sau argument capabil să o convingă să ajungă la o concluzie diferită de cea la care s-a ajuns în cauzele referitoare la admisibilitatea și fondul plângerilor respective. Având în vedere jurisprudența sa în materie, ea consideră că, în această cauză, autoritățile naționale nu au depus toate eforturile necesare pentru a asigura executarea integrală și în timp util a hotărârii judecătorești definitive pronunțate în favoarea reclamantului și, prin urmare, reclamantul poate în continuare pretinde a fi victimă a încălcărilor invocate în prezenta cauză.</w:t>
            </w:r>
          </w:p>
        </w:tc>
        <w:tc>
          <w:tcPr>
            <w:tcW w:w="1422" w:type="dxa"/>
            <w:tcBorders>
              <w:bottom w:val="nil"/>
            </w:tcBorders>
          </w:tcPr>
          <w:p w14:paraId="655E69DF" w14:textId="77777777" w:rsidR="00B33875" w:rsidRPr="009C3A85" w:rsidRDefault="00B33875"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1 600 EUR (moral)</w:t>
            </w:r>
          </w:p>
          <w:p w14:paraId="1A55F7D6" w14:textId="2D5D0C58" w:rsidR="00B33875" w:rsidRPr="009C3A85" w:rsidRDefault="00B33875" w:rsidP="00EF6956">
            <w:pPr>
              <w:spacing w:after="120" w:line="276" w:lineRule="auto"/>
              <w:rPr>
                <w:rFonts w:asciiTheme="majorBidi" w:hAnsiTheme="majorBidi" w:cstheme="majorBidi"/>
                <w:lang w:val="ro-MD"/>
              </w:rPr>
            </w:pPr>
            <w:r w:rsidRPr="009C3A85">
              <w:rPr>
                <w:rFonts w:asciiTheme="majorBidi" w:hAnsiTheme="majorBidi" w:cstheme="majorBidi"/>
                <w:lang w:val="ro-MD"/>
              </w:rPr>
              <w:t>250 EUR (cost./chelt.)</w:t>
            </w:r>
          </w:p>
        </w:tc>
      </w:tr>
      <w:tr w:rsidR="0087236C" w:rsidRPr="002904F1" w14:paraId="25FC9883" w14:textId="77777777" w:rsidTr="0038457E">
        <w:tc>
          <w:tcPr>
            <w:tcW w:w="1345" w:type="dxa"/>
            <w:tcBorders>
              <w:top w:val="single" w:sz="4" w:space="0" w:color="auto"/>
              <w:bottom w:val="single" w:sz="4" w:space="0" w:color="auto"/>
            </w:tcBorders>
          </w:tcPr>
          <w:p w14:paraId="533ACE4F" w14:textId="7EEFAACB" w:rsidR="002C2E4F" w:rsidRPr="009C3A85" w:rsidRDefault="0087236C" w:rsidP="002C2E4F">
            <w:pPr>
              <w:spacing w:after="120" w:line="276" w:lineRule="auto"/>
              <w:jc w:val="center"/>
              <w:rPr>
                <w:rFonts w:asciiTheme="majorBidi" w:hAnsiTheme="majorBidi" w:cstheme="majorBidi"/>
                <w:color w:val="000000"/>
                <w:shd w:val="clear" w:color="auto" w:fill="FFFFFF"/>
                <w:lang w:val="ro-MD"/>
              </w:rPr>
            </w:pPr>
            <w:r w:rsidRPr="009C3A85">
              <w:rPr>
                <w:rFonts w:asciiTheme="majorBidi" w:hAnsiTheme="majorBidi" w:cstheme="majorBidi"/>
                <w:lang w:val="ro-MD"/>
              </w:rPr>
              <w:t>6</w:t>
            </w:r>
            <w:r w:rsidRPr="009C3A85">
              <w:rPr>
                <w:rFonts w:asciiTheme="majorBidi" w:hAnsiTheme="majorBidi" w:cstheme="majorBidi"/>
                <w:color w:val="000000"/>
                <w:shd w:val="clear" w:color="auto" w:fill="FFFFFF"/>
                <w:lang w:val="ro-MD"/>
              </w:rPr>
              <w:t>§1</w:t>
            </w:r>
          </w:p>
          <w:p w14:paraId="5F064B20" w14:textId="44AD9BB2" w:rsidR="00AB72B7" w:rsidRPr="009C3A85" w:rsidRDefault="00AB72B7" w:rsidP="00EF6956">
            <w:pPr>
              <w:spacing w:after="120" w:line="276" w:lineRule="auto"/>
              <w:jc w:val="center"/>
              <w:rPr>
                <w:rFonts w:asciiTheme="majorBidi" w:hAnsiTheme="majorBidi" w:cstheme="majorBidi"/>
                <w:lang w:val="ro-MD"/>
              </w:rPr>
            </w:pPr>
            <w:r w:rsidRPr="009C3A85">
              <w:rPr>
                <w:rFonts w:asciiTheme="majorBidi" w:hAnsiTheme="majorBidi" w:cstheme="majorBidi"/>
                <w:color w:val="000000"/>
                <w:shd w:val="clear" w:color="auto" w:fill="FFFFFF"/>
                <w:lang w:val="ro-MD"/>
              </w:rPr>
              <w:t>Judecarea în mod echitabil</w:t>
            </w:r>
          </w:p>
        </w:tc>
        <w:tc>
          <w:tcPr>
            <w:tcW w:w="1260" w:type="dxa"/>
            <w:tcBorders>
              <w:bottom w:val="single" w:sz="4" w:space="0" w:color="auto"/>
            </w:tcBorders>
          </w:tcPr>
          <w:p w14:paraId="0F7CE4FE" w14:textId="77777777"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10.07.2025</w:t>
            </w:r>
            <w:r w:rsidRPr="009C3A85">
              <w:rPr>
                <w:rFonts w:asciiTheme="majorBidi" w:hAnsiTheme="majorBidi" w:cstheme="majorBidi"/>
                <w:lang w:val="ro-MD"/>
              </w:rPr>
              <w:br/>
            </w:r>
            <w:hyperlink r:id="rId15" w:history="1">
              <w:r w:rsidRPr="009C3A85">
                <w:rPr>
                  <w:rStyle w:val="a4"/>
                  <w:rFonts w:asciiTheme="majorBidi" w:hAnsiTheme="majorBidi" w:cstheme="majorBidi"/>
                  <w:lang w:val="ro-MD"/>
                </w:rPr>
                <w:t>Semenya c. Elveției [MC]</w:t>
              </w:r>
            </w:hyperlink>
          </w:p>
        </w:tc>
        <w:tc>
          <w:tcPr>
            <w:tcW w:w="2340" w:type="dxa"/>
            <w:tcBorders>
              <w:bottom w:val="single" w:sz="4" w:space="0" w:color="auto"/>
            </w:tcBorders>
          </w:tcPr>
          <w:p w14:paraId="456999FF" w14:textId="764B4E3F" w:rsidR="0087236C" w:rsidRPr="009C3A85" w:rsidRDefault="00181996" w:rsidP="00181996">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Contestație la FSC împotriva hotărârii TAS care a respins plângerea unei sportive cu diferențe de dezvoltare sexuală, privind reglementări non-statale ce îi impuneau să își reducă nivelul natural de testosteron pentru a concura în categoria feminină la competiții internaționale; dreptul la un proces echitabil care necesită o examinare deosebit de riguroasă atunci când jurisdicția obligatorie și exclusivă a TAS a fost </w:t>
            </w:r>
            <w:r w:rsidRPr="009C3A85">
              <w:rPr>
                <w:rFonts w:asciiTheme="majorBidi" w:hAnsiTheme="majorBidi" w:cstheme="majorBidi"/>
                <w:lang w:val="ro-MD"/>
              </w:rPr>
              <w:lastRenderedPageBreak/>
              <w:t>impusă sportivului de către organismul de conducere, iar disputa privea un drept „civil” sau drepturi corespunzătoare, în dreptul intern, drepturilor fundamentale;  revizuirea FSC limitată la compatibilitatea hotărârii TAS cu ordinea publică substanțială, un concept pe care l-a interpretat foarte restrictiv; nerespectarea examinării deosebit de riguroase a plângerii reclamantei</w:t>
            </w:r>
          </w:p>
        </w:tc>
        <w:tc>
          <w:tcPr>
            <w:tcW w:w="7470" w:type="dxa"/>
            <w:tcBorders>
              <w:bottom w:val="single" w:sz="4" w:space="0" w:color="auto"/>
            </w:tcBorders>
          </w:tcPr>
          <w:p w14:paraId="412FD2A8" w14:textId="6640680D" w:rsidR="005966FE" w:rsidRPr="005966FE" w:rsidRDefault="005966FE" w:rsidP="00F46F44">
            <w:pPr>
              <w:spacing w:after="120" w:line="276" w:lineRule="auto"/>
              <w:jc w:val="both"/>
              <w:rPr>
                <w:rFonts w:asciiTheme="majorBidi" w:hAnsiTheme="majorBidi" w:cstheme="majorBidi"/>
                <w:i/>
                <w:iCs/>
                <w:lang w:val="ro-MD"/>
              </w:rPr>
            </w:pPr>
            <w:r w:rsidRPr="005966FE">
              <w:rPr>
                <w:rFonts w:asciiTheme="majorBidi" w:hAnsiTheme="majorBidi" w:cstheme="majorBidi"/>
                <w:i/>
                <w:iCs/>
                <w:lang w:val="ro-MD"/>
              </w:rPr>
              <w:lastRenderedPageBreak/>
              <w:t>(i) Jurisdicția Elveției în ceea ce privește principiul teritorialității</w:t>
            </w:r>
          </w:p>
          <w:p w14:paraId="491D9FFA" w14:textId="10F8B4E8" w:rsidR="0087236C" w:rsidRDefault="0036406C" w:rsidP="00F46F44">
            <w:pPr>
              <w:spacing w:after="120" w:line="276" w:lineRule="auto"/>
              <w:jc w:val="both"/>
              <w:rPr>
                <w:rFonts w:asciiTheme="majorBidi" w:hAnsiTheme="majorBidi" w:cstheme="majorBidi"/>
                <w:lang w:val="ro-MD"/>
              </w:rPr>
            </w:pPr>
            <w:r w:rsidRPr="0036406C">
              <w:rPr>
                <w:rFonts w:asciiTheme="majorBidi" w:hAnsiTheme="majorBidi" w:cstheme="majorBidi"/>
                <w:lang w:val="ro-MD"/>
              </w:rPr>
              <w:t>127. Curtea observă că nu există nicio legătură teritorială între Elveția, pe de o parte, și reclamantă, adoptarea Regulamentelor DSD și efectele acestora asupra situației sale personale, pe de altă parte, cu excepția procedurilor inițiate în fața TAS și a Tribunalului Federal, care vor fi examinate mai jos. Prin urmare, este evident că reclamanta nu intra în jurisdicția teritorială a statului pârât.</w:t>
            </w:r>
          </w:p>
          <w:p w14:paraId="10848B19" w14:textId="2EF54992" w:rsidR="005966FE" w:rsidRPr="005966FE" w:rsidRDefault="005966FE" w:rsidP="005966FE">
            <w:pPr>
              <w:spacing w:after="120" w:line="276" w:lineRule="auto"/>
              <w:rPr>
                <w:rFonts w:asciiTheme="majorBidi" w:hAnsiTheme="majorBidi" w:cstheme="majorBidi"/>
                <w:i/>
                <w:iCs/>
                <w:lang w:val="ro-MD"/>
              </w:rPr>
            </w:pPr>
            <w:r w:rsidRPr="005966FE">
              <w:rPr>
                <w:rFonts w:asciiTheme="majorBidi" w:hAnsiTheme="majorBidi" w:cstheme="majorBidi"/>
                <w:i/>
                <w:iCs/>
                <w:lang w:val="ro-MD"/>
              </w:rPr>
              <w:t>(ii) Jurisdicția Elveției ca excepție de la principiul teritorialității</w:t>
            </w:r>
          </w:p>
          <w:p w14:paraId="3040EE1E" w14:textId="47D9008B" w:rsidR="005966FE" w:rsidRDefault="005966FE" w:rsidP="005966FE">
            <w:pPr>
              <w:spacing w:after="120" w:line="276" w:lineRule="auto"/>
              <w:jc w:val="both"/>
              <w:rPr>
                <w:rFonts w:asciiTheme="majorBidi" w:hAnsiTheme="majorBidi" w:cstheme="majorBidi"/>
                <w:lang w:val="ro-MD"/>
              </w:rPr>
            </w:pPr>
            <w:r w:rsidRPr="005966FE">
              <w:rPr>
                <w:rFonts w:asciiTheme="majorBidi" w:hAnsiTheme="majorBidi" w:cstheme="majorBidi"/>
                <w:i/>
                <w:iCs/>
                <w:lang w:val="ro-MD"/>
              </w:rPr>
              <w:t>(α) În ceea ce privește plângerea întemeiată pe articolul 6 § 1 din Convenție</w:t>
            </w:r>
          </w:p>
          <w:p w14:paraId="1D583C90" w14:textId="77777777" w:rsidR="0036406C" w:rsidRDefault="0036406C" w:rsidP="00F46F44">
            <w:pPr>
              <w:spacing w:after="120" w:line="276" w:lineRule="auto"/>
              <w:jc w:val="both"/>
              <w:rPr>
                <w:rFonts w:asciiTheme="majorBidi" w:hAnsiTheme="majorBidi" w:cstheme="majorBidi"/>
                <w:lang w:val="ro-RO"/>
              </w:rPr>
            </w:pPr>
            <w:r>
              <w:rPr>
                <w:rFonts w:asciiTheme="majorBidi" w:hAnsiTheme="majorBidi" w:cstheme="majorBidi"/>
                <w:lang w:val="ro-MD"/>
              </w:rPr>
              <w:t xml:space="preserve">128. </w:t>
            </w:r>
            <w:r>
              <w:rPr>
                <w:rFonts w:asciiTheme="majorBidi" w:hAnsiTheme="majorBidi" w:cstheme="majorBidi"/>
                <w:lang w:val="en-US"/>
              </w:rPr>
              <w:t>[o]</w:t>
            </w:r>
            <w:r>
              <w:rPr>
                <w:rFonts w:asciiTheme="majorBidi" w:hAnsiTheme="majorBidi" w:cstheme="majorBidi"/>
                <w:lang w:val="ro-RO"/>
              </w:rPr>
              <w:t xml:space="preserve">dată </w:t>
            </w:r>
            <w:r w:rsidR="007D6232" w:rsidRPr="007D6232">
              <w:rPr>
                <w:rFonts w:asciiTheme="majorBidi" w:hAnsiTheme="majorBidi" w:cstheme="majorBidi"/>
                <w:lang w:val="ro-RO"/>
              </w:rPr>
              <w:t>ce o persoană introduce o acțiune civilă în fața instanțelor unui stat membru, iar dreptul intern recunoaște dreptul de a introduce o astfel de acțiune, iar dreptul invocat este unul care, prima facie, prezintă caracteristicile cerute de articolul 6 al Convenției, acea persoană intră în jurisdicția statului respectiv în ceea ce privește respectarea drepturilor garantate de această dispoziție, chiar dacă evenimentele care au dat naștere cererii au avut loc în afara teritoriului acelui stat.</w:t>
            </w:r>
          </w:p>
          <w:p w14:paraId="002536B8" w14:textId="77777777" w:rsidR="0043345E" w:rsidRDefault="0043345E" w:rsidP="00F46F44">
            <w:pPr>
              <w:spacing w:after="120" w:line="276" w:lineRule="auto"/>
              <w:jc w:val="both"/>
              <w:rPr>
                <w:rFonts w:asciiTheme="majorBidi" w:hAnsiTheme="majorBidi" w:cstheme="majorBidi"/>
                <w:lang w:val="en-US"/>
              </w:rPr>
            </w:pPr>
            <w:r>
              <w:rPr>
                <w:rFonts w:asciiTheme="majorBidi" w:hAnsiTheme="majorBidi" w:cstheme="majorBidi"/>
                <w:lang w:val="en-US"/>
              </w:rPr>
              <w:t>[…]</w:t>
            </w:r>
          </w:p>
          <w:p w14:paraId="70EC0C72" w14:textId="77777777" w:rsidR="0043345E" w:rsidRPr="00C67CDC" w:rsidRDefault="0043345E" w:rsidP="00F46F44">
            <w:pPr>
              <w:spacing w:after="120" w:line="276" w:lineRule="auto"/>
              <w:jc w:val="both"/>
              <w:rPr>
                <w:rFonts w:asciiTheme="majorBidi" w:hAnsiTheme="majorBidi" w:cstheme="majorBidi"/>
                <w:lang w:val="fr-FR"/>
              </w:rPr>
            </w:pPr>
            <w:r w:rsidRPr="00C67CDC">
              <w:rPr>
                <w:rFonts w:asciiTheme="majorBidi" w:hAnsiTheme="majorBidi" w:cstheme="majorBidi"/>
                <w:lang w:val="fr-FR"/>
              </w:rPr>
              <w:lastRenderedPageBreak/>
              <w:t xml:space="preserve">131. </w:t>
            </w:r>
            <w:r w:rsidR="00F030A5" w:rsidRPr="00C67CDC">
              <w:rPr>
                <w:rFonts w:asciiTheme="majorBidi" w:hAnsiTheme="majorBidi" w:cstheme="majorBidi"/>
                <w:lang w:val="fr-FR"/>
              </w:rPr>
              <w:t>[r]eclamanta a introdus o cale de atac civilă împotriva hotărârii pronunțate la 30 aprilie 2019 de TAS în cauza sa, cale de atac care a fost examinată de Tribunalul Federal.</w:t>
            </w:r>
          </w:p>
          <w:p w14:paraId="63075795" w14:textId="62E62DE0" w:rsidR="00F030A5" w:rsidRPr="00F030A5" w:rsidRDefault="00F030A5" w:rsidP="00F030A5">
            <w:pPr>
              <w:spacing w:after="120" w:line="276" w:lineRule="auto"/>
              <w:rPr>
                <w:rFonts w:asciiTheme="majorBidi" w:hAnsiTheme="majorBidi" w:cstheme="majorBidi"/>
                <w:lang w:val="ro-RO"/>
              </w:rPr>
            </w:pPr>
            <w:r w:rsidRPr="00F030A5">
              <w:rPr>
                <w:rFonts w:asciiTheme="majorBidi" w:hAnsiTheme="majorBidi" w:cstheme="majorBidi"/>
                <w:lang w:val="ro-RO"/>
              </w:rPr>
              <w:t>132. Curtea observă, în continuare, că drepturile invocate de reclamantă în fața TAS și a Tribunalului Federal prezentau caracteristicile cerute de articolul 6 al Convenției, întrucât, astfel cum se menționează la paragrafele 158-163 de mai jos, litigiul ridicat de reclamantă prin acțiunea sa civilă privea „drepturile [ei] civile” în sensul acestei dispoziții.</w:t>
            </w:r>
          </w:p>
          <w:p w14:paraId="6F53A9FB" w14:textId="77777777" w:rsidR="00F030A5" w:rsidRDefault="00F030A5" w:rsidP="00F030A5">
            <w:pPr>
              <w:spacing w:after="120" w:line="276" w:lineRule="auto"/>
              <w:jc w:val="both"/>
              <w:rPr>
                <w:rFonts w:asciiTheme="majorBidi" w:hAnsiTheme="majorBidi" w:cstheme="majorBidi"/>
                <w:lang w:val="ro-RO"/>
              </w:rPr>
            </w:pPr>
            <w:r w:rsidRPr="00F030A5">
              <w:rPr>
                <w:rFonts w:asciiTheme="majorBidi" w:hAnsiTheme="majorBidi" w:cstheme="majorBidi"/>
                <w:lang w:val="ro-RO"/>
              </w:rPr>
              <w:t>133. Prin urmare, apelul reclamantei la Tribunalul Federal, ulterior cererii sale adresate TAS, a creat un raport de jurisdicție cu Elveția, implicând obligația acestui stat, în temeiul articolului 1 al Convenției, de a asigura respectarea drepturilor protejate de articolul 6 al Convenției în procedurile derulate în fața Tribunalului Federal.</w:t>
            </w:r>
          </w:p>
          <w:p w14:paraId="42EDF470" w14:textId="77777777" w:rsidR="00F030A5" w:rsidRPr="00F030A5" w:rsidRDefault="00F030A5" w:rsidP="00F030A5">
            <w:pPr>
              <w:spacing w:after="120" w:line="276" w:lineRule="auto"/>
              <w:jc w:val="both"/>
              <w:rPr>
                <w:rFonts w:asciiTheme="majorBidi" w:hAnsiTheme="majorBidi" w:cstheme="majorBidi"/>
                <w:lang w:val="ro-RO"/>
              </w:rPr>
            </w:pPr>
            <w:r w:rsidRPr="00F030A5">
              <w:rPr>
                <w:rFonts w:asciiTheme="majorBidi" w:hAnsiTheme="majorBidi" w:cstheme="majorBidi"/>
                <w:lang w:val="ro-RO"/>
              </w:rPr>
              <w:t>[…]</w:t>
            </w:r>
          </w:p>
          <w:p w14:paraId="60927266" w14:textId="77777777" w:rsidR="00F030A5" w:rsidRDefault="00F030A5" w:rsidP="00F030A5">
            <w:pPr>
              <w:spacing w:after="120" w:line="276" w:lineRule="auto"/>
              <w:jc w:val="both"/>
              <w:rPr>
                <w:rFonts w:asciiTheme="majorBidi" w:hAnsiTheme="majorBidi" w:cstheme="majorBidi"/>
                <w:lang w:val="ro-RO"/>
              </w:rPr>
            </w:pPr>
            <w:r w:rsidRPr="00F030A5">
              <w:rPr>
                <w:rFonts w:asciiTheme="majorBidi" w:hAnsiTheme="majorBidi" w:cstheme="majorBidi"/>
                <w:lang w:val="ro-RO"/>
              </w:rPr>
              <w:t>135. În concluzie, […] reclamanta intra în jurisdicția Elveției în ceea ce privește plângerea sa în temeiul articolului 6 § 1.</w:t>
            </w:r>
          </w:p>
          <w:p w14:paraId="24F8FB2F" w14:textId="77777777" w:rsidR="005966FE" w:rsidRPr="003629DE" w:rsidRDefault="003629DE" w:rsidP="00F030A5">
            <w:pPr>
              <w:spacing w:after="120" w:line="276" w:lineRule="auto"/>
              <w:jc w:val="both"/>
              <w:rPr>
                <w:rFonts w:asciiTheme="majorBidi" w:hAnsiTheme="majorBidi" w:cstheme="majorBidi"/>
                <w:i/>
                <w:iCs/>
                <w:lang w:val="ro-RO"/>
              </w:rPr>
            </w:pPr>
            <w:r w:rsidRPr="003629DE">
              <w:rPr>
                <w:rFonts w:asciiTheme="majorBidi" w:hAnsiTheme="majorBidi" w:cstheme="majorBidi"/>
                <w:i/>
                <w:iCs/>
                <w:lang w:val="ro-RO"/>
              </w:rPr>
              <w:t>(β) În ceea ce privește plângerile întemeiate pe articolul 8 din Convenție, analizate separat sau împreună cu articolul 14</w:t>
            </w:r>
          </w:p>
          <w:p w14:paraId="5DC7B810" w14:textId="608B713F" w:rsidR="003629DE" w:rsidRDefault="00DD113A" w:rsidP="00F030A5">
            <w:pPr>
              <w:spacing w:after="120" w:line="276" w:lineRule="auto"/>
              <w:jc w:val="both"/>
              <w:rPr>
                <w:rFonts w:asciiTheme="majorBidi" w:hAnsiTheme="majorBidi" w:cstheme="majorBidi"/>
                <w:lang w:val="ro-RO"/>
              </w:rPr>
            </w:pPr>
            <w:r>
              <w:rPr>
                <w:rFonts w:asciiTheme="majorBidi" w:hAnsiTheme="majorBidi" w:cstheme="majorBidi"/>
                <w:lang w:val="ro-RO"/>
              </w:rPr>
              <w:t xml:space="preserve">145. [C]urtea </w:t>
            </w:r>
            <w:r w:rsidRPr="00DD113A">
              <w:rPr>
                <w:rFonts w:asciiTheme="majorBidi" w:hAnsiTheme="majorBidi" w:cstheme="majorBidi"/>
                <w:lang w:val="ro-RO"/>
              </w:rPr>
              <w:t>consideră că faptul că Tribunalul Federal a examinat calea de atac civilă a reclamantei prin care solicita anularea hotărârii TAS din 30 aprilie 2019 nu este suficient pentru a stabili jurisdicția Elveției în privința reclamantei în contextul plângerilor sale în temeiul articolelor 8 și 14.</w:t>
            </w:r>
          </w:p>
          <w:p w14:paraId="60846AE8" w14:textId="1EC4E397" w:rsidR="0072380F" w:rsidRDefault="004153DE" w:rsidP="004153DE">
            <w:pPr>
              <w:spacing w:after="120" w:line="276" w:lineRule="auto"/>
              <w:jc w:val="both"/>
              <w:rPr>
                <w:rFonts w:asciiTheme="majorBidi" w:hAnsiTheme="majorBidi" w:cstheme="majorBidi"/>
                <w:lang w:val="en-US"/>
              </w:rPr>
            </w:pPr>
            <w:r>
              <w:rPr>
                <w:rFonts w:asciiTheme="majorBidi" w:hAnsiTheme="majorBidi" w:cstheme="majorBidi"/>
                <w:lang w:val="en-US"/>
              </w:rPr>
              <w:t>[…]</w:t>
            </w:r>
          </w:p>
          <w:p w14:paraId="0104CDA0" w14:textId="6F085657" w:rsidR="004153DE" w:rsidRPr="004153DE" w:rsidRDefault="004153DE" w:rsidP="004153DE">
            <w:pPr>
              <w:spacing w:after="120" w:line="276" w:lineRule="auto"/>
              <w:jc w:val="both"/>
              <w:rPr>
                <w:rFonts w:asciiTheme="majorBidi" w:hAnsiTheme="majorBidi" w:cstheme="majorBidi"/>
                <w:lang w:val="ro-RO"/>
              </w:rPr>
            </w:pPr>
            <w:r w:rsidRPr="004153DE">
              <w:rPr>
                <w:rFonts w:asciiTheme="majorBidi" w:hAnsiTheme="majorBidi" w:cstheme="majorBidi"/>
                <w:lang w:val="ro-RO"/>
              </w:rPr>
              <w:t xml:space="preserve">149. Curtea notează că reclamanta a susținut, în special, că statul pârât a exercitat control asupra intereselor sale în temeiul Convenției, întrucât a fost obligată să apeleze la sistemul juridic elvețian pentru a-și apăra drepturile. Curtea reiterează însă că jurisdicția extraterritorială, așa cum este concepută în temeiul articolului 1 </w:t>
            </w:r>
            <w:r w:rsidRPr="004153DE">
              <w:rPr>
                <w:rFonts w:asciiTheme="majorBidi" w:hAnsiTheme="majorBidi" w:cstheme="majorBidi"/>
                <w:lang w:val="ro-RO"/>
              </w:rPr>
              <w:lastRenderedPageBreak/>
              <w:t>al Convenției, presupune control asupra persoanei în sine, și nu asupra intereselor acesteia ca atare. Lăsând deoparte jurisprudența specifică articolului 2 privind privarea intenționată de viață de către agenți ai statului, nu există suport jurisprudențial pentru un criteriu precum „control asupra intereselor Convenției” ca bază a jurisdicției extraterritoriale. Curtea nu consideră că domeniul jurisprudenței extraterritoriale ar putea fi extins în acest mod, ceea ce ar constitui o abatere radicală de la principiile consacrate în temeiul articolului 1.</w:t>
            </w:r>
          </w:p>
          <w:p w14:paraId="025BE94E" w14:textId="6B41AEA9" w:rsidR="004153DE" w:rsidRDefault="004153DE" w:rsidP="004153DE">
            <w:pPr>
              <w:spacing w:after="120" w:line="276" w:lineRule="auto"/>
              <w:jc w:val="both"/>
              <w:rPr>
                <w:rFonts w:asciiTheme="majorBidi" w:hAnsiTheme="majorBidi" w:cstheme="majorBidi"/>
                <w:lang w:val="ro-RO"/>
              </w:rPr>
            </w:pPr>
            <w:r w:rsidRPr="004153DE">
              <w:rPr>
                <w:rFonts w:asciiTheme="majorBidi" w:hAnsiTheme="majorBidi" w:cstheme="majorBidi"/>
                <w:lang w:val="ro-RO"/>
              </w:rPr>
              <w:t>150. În final, Curtea notează că, în concluzionarea raționamentului în temeiul articolului 1 al Convenției, majoritatea Camerei, constatând că singurul remediu disponibil reclamantei fusese cererea adresată TAS, urmată de apelul la Tribunalul Federal, a reținut că, dacă Curtea ar constata că nu are jurisdicție să examineze acest tip de cerere, s-ar risca blocarea accesului la Curte pentru o întreagă categorie de persoane, respectiv sportive profesioniste de sex feminin, ceea ce nu ar corespunde spiritului, obiectului și scopului Convenției. Acest fapt nu este însă suficient pentru a lega prezenta cauză de Elveția în mod a constitui un raport de jurisdicție între stat și reclamantă. Prin urmare, nu poate fi invocat în temeiul articolului 1 al Convenției în legătură cu articolul 8, analizat separat sau împreună cu articolul 14. Mai mult, adoptarea abordării Camerei ar echivala din nou cu extinderea domeniului jurisprudenței extraterritoriale și cu abaterea de la principiile consacrate în temeiul articolului 1, și aceasta în lipsa unor motive valabile pentru dezvoltarea jurisprudenței existente privind jurisdicția extraterritorială.</w:t>
            </w:r>
          </w:p>
          <w:p w14:paraId="51D67F42" w14:textId="511701A5" w:rsidR="00DA58FB" w:rsidRPr="004153DE" w:rsidRDefault="00DA58FB" w:rsidP="004153DE">
            <w:pPr>
              <w:spacing w:after="120" w:line="276" w:lineRule="auto"/>
              <w:jc w:val="both"/>
              <w:rPr>
                <w:rFonts w:asciiTheme="majorBidi" w:hAnsiTheme="majorBidi" w:cstheme="majorBidi"/>
                <w:lang w:val="ro-RO"/>
              </w:rPr>
            </w:pPr>
            <w:r w:rsidRPr="00DA58FB">
              <w:rPr>
                <w:rFonts w:asciiTheme="majorBidi" w:hAnsiTheme="majorBidi" w:cstheme="majorBidi"/>
                <w:lang w:val="ro-RO"/>
              </w:rPr>
              <w:t>151. În consecință, reclamanta nu intra sub jurisdicția Elveției în ceea ce privește plângerile sale în temeiul articolului 8, analizat separat sau împreună cu articolul 14.</w:t>
            </w:r>
          </w:p>
          <w:p w14:paraId="614B397C" w14:textId="77777777" w:rsidR="00167319" w:rsidRPr="00167319" w:rsidRDefault="00167319" w:rsidP="00167319">
            <w:pPr>
              <w:spacing w:after="120" w:line="276" w:lineRule="auto"/>
              <w:jc w:val="both"/>
              <w:rPr>
                <w:rFonts w:asciiTheme="majorBidi" w:hAnsiTheme="majorBidi" w:cstheme="majorBidi"/>
                <w:i/>
                <w:iCs/>
                <w:lang w:val="ro-RO"/>
              </w:rPr>
            </w:pPr>
            <w:r w:rsidRPr="00167319">
              <w:rPr>
                <w:rFonts w:asciiTheme="majorBidi" w:hAnsiTheme="majorBidi" w:cstheme="majorBidi"/>
                <w:i/>
                <w:iCs/>
                <w:lang w:val="ro-RO"/>
              </w:rPr>
              <w:t>(γ) În ceea ce privește plângerea întemeiată pe articolul 13 din Convenție</w:t>
            </w:r>
          </w:p>
          <w:p w14:paraId="62FA4012" w14:textId="77777777" w:rsidR="00167319" w:rsidRDefault="008B0A74" w:rsidP="00167319">
            <w:pPr>
              <w:spacing w:after="120" w:line="276" w:lineRule="auto"/>
              <w:jc w:val="both"/>
              <w:rPr>
                <w:rFonts w:asciiTheme="majorBidi" w:hAnsiTheme="majorBidi" w:cstheme="majorBidi"/>
                <w:lang w:val="ro-RO"/>
              </w:rPr>
            </w:pPr>
            <w:r>
              <w:rPr>
                <w:rFonts w:asciiTheme="majorBidi" w:hAnsiTheme="majorBidi" w:cstheme="majorBidi"/>
                <w:lang w:val="ro-RO"/>
              </w:rPr>
              <w:t xml:space="preserve">152. </w:t>
            </w:r>
            <w:r w:rsidRPr="008B0A74">
              <w:rPr>
                <w:rFonts w:asciiTheme="majorBidi" w:hAnsiTheme="majorBidi" w:cstheme="majorBidi"/>
                <w:lang w:val="ro-RO"/>
              </w:rPr>
              <w:t>Din concluzia Curții, potrivit căreia reclamanta nu intra în jurisdicția Elveției în privința plângerilor sale în temeiul articolelor 8 și 14 din Convenție, rezultă că aceeași situație se aplică și plângerii sale în temeiul articolului 13 din Convenție, analizat împreună cu aceste dispoziții.</w:t>
            </w:r>
          </w:p>
          <w:p w14:paraId="556BF872" w14:textId="37EEE789" w:rsidR="00F861A6" w:rsidRPr="00F861A6" w:rsidRDefault="00F861A6" w:rsidP="00F861A6">
            <w:pPr>
              <w:spacing w:after="120" w:line="276" w:lineRule="auto"/>
              <w:jc w:val="both"/>
              <w:rPr>
                <w:rFonts w:asciiTheme="majorBidi" w:hAnsiTheme="majorBidi" w:cstheme="majorBidi"/>
                <w:lang w:val="ro-RO"/>
              </w:rPr>
            </w:pPr>
            <w:r w:rsidRPr="00F861A6">
              <w:rPr>
                <w:rFonts w:asciiTheme="majorBidi" w:hAnsiTheme="majorBidi" w:cstheme="majorBidi"/>
                <w:lang w:val="ro-RO"/>
              </w:rPr>
              <w:lastRenderedPageBreak/>
              <w:t>153. Reclamanta intra în jurisdicția Elveției în ceea ce privește plângerea sa în temeiul articolului 6 § 1 din Convenție.</w:t>
            </w:r>
          </w:p>
          <w:p w14:paraId="0B679546" w14:textId="77777777" w:rsidR="008B0A74" w:rsidRDefault="00F861A6" w:rsidP="00F861A6">
            <w:pPr>
              <w:spacing w:after="120" w:line="276" w:lineRule="auto"/>
              <w:jc w:val="both"/>
              <w:rPr>
                <w:rFonts w:asciiTheme="majorBidi" w:hAnsiTheme="majorBidi" w:cstheme="majorBidi"/>
                <w:lang w:val="ro-RO"/>
              </w:rPr>
            </w:pPr>
            <w:r w:rsidRPr="00F861A6">
              <w:rPr>
                <w:rFonts w:asciiTheme="majorBidi" w:hAnsiTheme="majorBidi" w:cstheme="majorBidi"/>
                <w:lang w:val="ro-RO"/>
              </w:rPr>
              <w:t>154. În schimb, ea nu intra în jurisdicția Elveției în privința plângerilor sale în temeiul articolului 8, analizat separat sau împreună cu articolul 14, sau în temeiul articolului 13, analizat împreună cu aceste dispoziții. Obiecția preliminară a Guvernului, potrivit căreia această parte a cererii este incompatibilă ratione personae și loci cu dispozițiile Convenției, trebuie, prin urmare, admisă, iar această parte a cererii trebuie declarată inadmisibilă în conformitate cu articolul 35 §§ 3 (a) și 4 din Convenție.</w:t>
            </w:r>
          </w:p>
          <w:p w14:paraId="1F44A9CA" w14:textId="77777777" w:rsidR="00F861A6" w:rsidRDefault="00F861A6" w:rsidP="00F861A6">
            <w:pPr>
              <w:spacing w:after="120" w:line="276" w:lineRule="auto"/>
              <w:jc w:val="both"/>
              <w:rPr>
                <w:rFonts w:asciiTheme="majorBidi" w:hAnsiTheme="majorBidi" w:cstheme="majorBidi"/>
                <w:lang w:val="en-US"/>
              </w:rPr>
            </w:pPr>
            <w:r>
              <w:rPr>
                <w:rFonts w:asciiTheme="majorBidi" w:hAnsiTheme="majorBidi" w:cstheme="majorBidi"/>
                <w:lang w:val="en-US"/>
              </w:rPr>
              <w:t>[…]</w:t>
            </w:r>
          </w:p>
          <w:p w14:paraId="7F45AE8A" w14:textId="2289C4F2" w:rsidR="00F861A6" w:rsidRPr="008D177A" w:rsidRDefault="008D177A" w:rsidP="008D177A">
            <w:pPr>
              <w:spacing w:after="120" w:line="276" w:lineRule="auto"/>
              <w:jc w:val="both"/>
              <w:rPr>
                <w:rFonts w:asciiTheme="majorBidi" w:hAnsiTheme="majorBidi" w:cstheme="majorBidi"/>
                <w:lang w:val="ro-MD"/>
              </w:rPr>
            </w:pPr>
            <w:r w:rsidRPr="008D177A">
              <w:rPr>
                <w:rFonts w:asciiTheme="majorBidi" w:hAnsiTheme="majorBidi" w:cstheme="majorBidi"/>
                <w:lang w:val="ro-MD"/>
              </w:rPr>
              <w:t>238. În concluzie, caracteristicile specifice ale arbitrajului sportiv la care a fost supusă reclamanta, implicând jurisdicția obligatorie și exclusivă a TAS, au necesitat o examinare judiciară aprofundată – proporțională cu gravitatea drepturilor personale în cauză – de către singura instanță internă având competența de a efectua o astfel de verificare. Examinarea cauzei reclamantei de către Tribunalul Federal, nu în ultimul rând datorită interpretării sale foarte restrictive a noțiunii de ordine publică, pe care a aplicat-o și la controlul hotărârilor arbitrale emise de TAS, nu a satisfăcut cerința de rigoare deosebită impusă de circumstanțele cauzei. În aceste condiții, Curtea concluzionează că reclamanta nu a beneficiat de garanțiile prevăzute de articolul 6 § 1 din Convenție.</w:t>
            </w:r>
          </w:p>
        </w:tc>
        <w:tc>
          <w:tcPr>
            <w:tcW w:w="1422" w:type="dxa"/>
            <w:tcBorders>
              <w:bottom w:val="single" w:sz="4" w:space="0" w:color="auto"/>
            </w:tcBorders>
          </w:tcPr>
          <w:p w14:paraId="4675D2E7" w14:textId="4E85C924" w:rsidR="00E622E1" w:rsidRDefault="00E622E1" w:rsidP="00EF6956">
            <w:pPr>
              <w:spacing w:after="120" w:line="276" w:lineRule="auto"/>
              <w:rPr>
                <w:rFonts w:asciiTheme="majorBidi" w:hAnsiTheme="majorBidi" w:cstheme="majorBidi"/>
                <w:lang w:val="ro-MD"/>
              </w:rPr>
            </w:pPr>
            <w:r>
              <w:rPr>
                <w:rFonts w:asciiTheme="majorBidi" w:hAnsiTheme="majorBidi" w:cstheme="majorBidi"/>
                <w:lang w:val="ro-MD"/>
              </w:rPr>
              <w:lastRenderedPageBreak/>
              <w:t xml:space="preserve">Plângerile în baza Articolului 8 în sine sau în coroborare cu Articolul 14, precum și Articolul 13 coroborat cu aceste dispoziții sunt incompatibile </w:t>
            </w:r>
            <w:r w:rsidRPr="00F97780">
              <w:rPr>
                <w:rFonts w:asciiTheme="majorBidi" w:hAnsiTheme="majorBidi" w:cstheme="majorBidi"/>
                <w:i/>
                <w:iCs/>
                <w:lang w:val="ro-MD"/>
              </w:rPr>
              <w:t>rationae personae</w:t>
            </w:r>
            <w:r>
              <w:rPr>
                <w:rFonts w:asciiTheme="majorBidi" w:hAnsiTheme="majorBidi" w:cstheme="majorBidi"/>
                <w:lang w:val="ro-MD"/>
              </w:rPr>
              <w:t xml:space="preserve"> și </w:t>
            </w:r>
            <w:r w:rsidRPr="00F97780">
              <w:rPr>
                <w:rFonts w:asciiTheme="majorBidi" w:hAnsiTheme="majorBidi" w:cstheme="majorBidi"/>
                <w:i/>
                <w:iCs/>
                <w:lang w:val="ro-MD"/>
              </w:rPr>
              <w:t>rationae loci</w:t>
            </w:r>
            <w:r>
              <w:rPr>
                <w:rFonts w:asciiTheme="majorBidi" w:hAnsiTheme="majorBidi" w:cstheme="majorBidi"/>
                <w:lang w:val="ro-MD"/>
              </w:rPr>
              <w:t xml:space="preserve"> cu Convenție</w:t>
            </w:r>
          </w:p>
          <w:p w14:paraId="1607C3FC" w14:textId="4D717DCF" w:rsidR="00352714" w:rsidRDefault="00352714" w:rsidP="00EF6956">
            <w:pPr>
              <w:spacing w:after="120" w:line="276" w:lineRule="auto"/>
              <w:rPr>
                <w:rFonts w:asciiTheme="majorBidi" w:hAnsiTheme="majorBidi" w:cstheme="majorBidi"/>
                <w:lang w:val="ro-MD"/>
              </w:rPr>
            </w:pPr>
            <w:r>
              <w:rPr>
                <w:rFonts w:asciiTheme="majorBidi" w:hAnsiTheme="majorBidi" w:cstheme="majorBidi"/>
                <w:lang w:val="ro-MD"/>
              </w:rPr>
              <w:lastRenderedPageBreak/>
              <w:t>Încălcarea articolului 6</w:t>
            </w:r>
            <w:r w:rsidRPr="009C3A85">
              <w:rPr>
                <w:rFonts w:asciiTheme="majorBidi" w:hAnsiTheme="majorBidi" w:cstheme="majorBidi"/>
                <w:color w:val="000000"/>
                <w:shd w:val="clear" w:color="auto" w:fill="FFFFFF"/>
                <w:lang w:val="ro-MD"/>
              </w:rPr>
              <w:t>§1</w:t>
            </w:r>
          </w:p>
          <w:p w14:paraId="2F45DB58" w14:textId="54888FF6" w:rsidR="0087236C" w:rsidRPr="009C3A85" w:rsidRDefault="0087236C" w:rsidP="00EF6956">
            <w:pPr>
              <w:spacing w:after="120" w:line="276" w:lineRule="auto"/>
              <w:rPr>
                <w:rFonts w:asciiTheme="majorBidi" w:hAnsiTheme="majorBidi" w:cstheme="majorBidi"/>
                <w:lang w:val="ro-MD"/>
              </w:rPr>
            </w:pPr>
            <w:r w:rsidRPr="009C3A85">
              <w:rPr>
                <w:rFonts w:asciiTheme="majorBidi" w:hAnsiTheme="majorBidi" w:cstheme="majorBidi"/>
                <w:lang w:val="ro-MD"/>
              </w:rPr>
              <w:t>80 000 EUR (cost./chelt.)</w:t>
            </w:r>
          </w:p>
        </w:tc>
      </w:tr>
      <w:tr w:rsidR="00425A4E" w:rsidRPr="002904F1" w14:paraId="364729B6" w14:textId="77777777" w:rsidTr="00DC3BE4">
        <w:tc>
          <w:tcPr>
            <w:tcW w:w="13837" w:type="dxa"/>
            <w:gridSpan w:val="5"/>
            <w:tcBorders>
              <w:bottom w:val="single" w:sz="4" w:space="0" w:color="auto"/>
            </w:tcBorders>
            <w:shd w:val="clear" w:color="auto" w:fill="F0FFFF"/>
          </w:tcPr>
          <w:p w14:paraId="5BE689F3" w14:textId="4F8BE37E" w:rsidR="00425A4E" w:rsidRPr="009C3A85" w:rsidRDefault="00425A4E" w:rsidP="00EF6956">
            <w:pPr>
              <w:pStyle w:val="1"/>
              <w:spacing w:line="276" w:lineRule="auto"/>
              <w:outlineLvl w:val="0"/>
            </w:pPr>
            <w:bookmarkStart w:id="5" w:name="_Toc213590709"/>
            <w:r w:rsidRPr="009C3A85">
              <w:lastRenderedPageBreak/>
              <w:t>Articolul 7. Nicio pedeapsă fără lege</w:t>
            </w:r>
            <w:bookmarkEnd w:id="5"/>
          </w:p>
        </w:tc>
      </w:tr>
      <w:tr w:rsidR="0087236C" w:rsidRPr="009C3A85" w14:paraId="568CCAF6" w14:textId="77777777" w:rsidTr="0038457E">
        <w:tc>
          <w:tcPr>
            <w:tcW w:w="1345" w:type="dxa"/>
            <w:tcBorders>
              <w:bottom w:val="single" w:sz="4" w:space="0" w:color="auto"/>
            </w:tcBorders>
          </w:tcPr>
          <w:p w14:paraId="64A66910" w14:textId="77777777"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7</w:t>
            </w:r>
          </w:p>
          <w:p w14:paraId="79EA1B79" w14:textId="7D586F91" w:rsidR="00BA1AE5" w:rsidRPr="009C3A85" w:rsidRDefault="00BA1AE5"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 xml:space="preserve">Nerespectarea principiului aplicării retroactive a legii penale </w:t>
            </w:r>
            <w:r w:rsidRPr="009C3A85">
              <w:rPr>
                <w:rFonts w:asciiTheme="majorBidi" w:hAnsiTheme="majorBidi" w:cstheme="majorBidi"/>
                <w:lang w:val="ro-MD"/>
              </w:rPr>
              <w:lastRenderedPageBreak/>
              <w:t>mai favorabile</w:t>
            </w:r>
          </w:p>
        </w:tc>
        <w:tc>
          <w:tcPr>
            <w:tcW w:w="1260" w:type="dxa"/>
            <w:tcBorders>
              <w:bottom w:val="single" w:sz="4" w:space="0" w:color="auto"/>
            </w:tcBorders>
          </w:tcPr>
          <w:p w14:paraId="252CFA61" w14:textId="6ECE5ECC"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lastRenderedPageBreak/>
              <w:t>10.07.2025</w:t>
            </w:r>
            <w:r w:rsidRPr="009C3A85">
              <w:rPr>
                <w:rFonts w:asciiTheme="majorBidi" w:hAnsiTheme="majorBidi" w:cstheme="majorBidi"/>
                <w:lang w:val="ro-MD"/>
              </w:rPr>
              <w:br/>
            </w:r>
            <w:hyperlink r:id="rId16" w:history="1">
              <w:r w:rsidRPr="009C3A85">
                <w:rPr>
                  <w:rStyle w:val="a4"/>
                  <w:rFonts w:asciiTheme="majorBidi" w:hAnsiTheme="majorBidi" w:cstheme="majorBidi"/>
                  <w:lang w:val="ro-MD"/>
                </w:rPr>
                <w:t>Wulffaert și Wulffaert Beheer NV c. Belgiei</w:t>
              </w:r>
            </w:hyperlink>
          </w:p>
        </w:tc>
        <w:tc>
          <w:tcPr>
            <w:tcW w:w="2340" w:type="dxa"/>
            <w:tcBorders>
              <w:bottom w:val="single" w:sz="4" w:space="0" w:color="auto"/>
            </w:tcBorders>
          </w:tcPr>
          <w:p w14:paraId="498E13CF" w14:textId="04E7F8C5" w:rsidR="0087236C" w:rsidRPr="009C3A85" w:rsidRDefault="00BA1AE5" w:rsidP="00BA1AE5">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Condamnare penală pentru efectuarea unor lucrări urbanistice care erau sancționabile la momentul comiterii lor, dar care nu mai erau incriminate la momentul pronunțării </w:t>
            </w:r>
            <w:r w:rsidRPr="009C3A85">
              <w:rPr>
                <w:rFonts w:asciiTheme="majorBidi" w:hAnsiTheme="majorBidi" w:cstheme="majorBidi"/>
                <w:lang w:val="ro-MD"/>
              </w:rPr>
              <w:lastRenderedPageBreak/>
              <w:t>hotărârii de vinovăție a reclamanților.</w:t>
            </w:r>
          </w:p>
        </w:tc>
        <w:tc>
          <w:tcPr>
            <w:tcW w:w="7470" w:type="dxa"/>
            <w:tcBorders>
              <w:bottom w:val="single" w:sz="4" w:space="0" w:color="auto"/>
            </w:tcBorders>
          </w:tcPr>
          <w:p w14:paraId="429AD834" w14:textId="6CD9178F" w:rsidR="009D132E" w:rsidRPr="009C3A85" w:rsidRDefault="00844061" w:rsidP="00844061">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 xml:space="preserve">42. Rezultă </w:t>
            </w:r>
            <w:r w:rsidR="009D132E" w:rsidRPr="009C3A85">
              <w:rPr>
                <w:rFonts w:asciiTheme="majorBidi" w:hAnsiTheme="majorBidi" w:cstheme="majorBidi"/>
                <w:lang w:val="ro-MD"/>
              </w:rPr>
              <w:t>noțiunea de „</w:t>
            </w:r>
            <w:r w:rsidRPr="009C3A85">
              <w:rPr>
                <w:rFonts w:asciiTheme="majorBidi" w:hAnsiTheme="majorBidi" w:cstheme="majorBidi"/>
                <w:lang w:val="ro-MD"/>
              </w:rPr>
              <w:t>lege</w:t>
            </w:r>
            <w:r w:rsidR="009D132E" w:rsidRPr="009C3A85">
              <w:rPr>
                <w:rFonts w:asciiTheme="majorBidi" w:hAnsiTheme="majorBidi" w:cstheme="majorBidi"/>
                <w:lang w:val="ro-MD"/>
              </w:rPr>
              <w:t>” în sensul articolului 7 al Convenției include și decretele de executare adoptate de Guvernul flamand, care erau în discuție în speță. Prin urmare, în opinia Curții, simplul fapt că excepția privind autorizația urbanistică era prevăzută printr-un decret de executare și nu printr-un act cu forță de „lege” la nivel intern nu este suficient, în sine, pentru a justifica neaplicarea principiului retroactivității legii penale mai favorabile, astfel cum decurge acesta din articolul 7 al Convenției.</w:t>
            </w:r>
          </w:p>
          <w:p w14:paraId="592CBD25" w14:textId="4810E2DE" w:rsidR="009D132E" w:rsidRPr="009C3A85" w:rsidRDefault="00844061" w:rsidP="00844061">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 xml:space="preserve">43. </w:t>
            </w:r>
            <w:r w:rsidR="009D132E" w:rsidRPr="009C3A85">
              <w:rPr>
                <w:rFonts w:asciiTheme="majorBidi" w:hAnsiTheme="majorBidi" w:cstheme="majorBidi"/>
                <w:lang w:val="ro-MD"/>
              </w:rPr>
              <w:t>Mai mult, Curtea observă, asemenea reclamanților, că decretele de executare în cauză participau, în realitate, la definirea infracțiunii. Într-adevăr, decretele relevante – adică „legile” în sens strict – prevedeau doar că edificarea de construcții fără autorizație constituia infracțiune și stabileau sancțiunile aplicabile. Aceste decrete conferiseră executivului competența de a deroga de la această normă prin stabilirea listei lucrărilor care nu necesitau autorizație (articolul 99 § 2 din decretul din 18 mai 1999 privind organizarea amenajării teritoriului și articolul 4.2.3 din codul flamand al amenajării teritoriului din 26 mai 2009). Decretele de executare adoptate în temeiul acestor acte stabileau lista lucrărilor exceptate de la autorizație. Prin urmare, prevederile din decretele din aprilie 2000 și iulie 2010 erau determinante pentru stabilirea infracțiunii și a răspunderii penale a reclamanților.</w:t>
            </w:r>
          </w:p>
          <w:p w14:paraId="7F2D7108" w14:textId="699AEF37" w:rsidR="00844061" w:rsidRPr="009C3A85" w:rsidRDefault="00844061" w:rsidP="00F21D91">
            <w:pPr>
              <w:spacing w:after="120" w:line="276" w:lineRule="auto"/>
              <w:jc w:val="both"/>
              <w:rPr>
                <w:rFonts w:asciiTheme="majorBidi" w:hAnsiTheme="majorBidi" w:cstheme="majorBidi"/>
                <w:lang w:val="ro-MD"/>
              </w:rPr>
            </w:pPr>
            <w:r w:rsidRPr="009C3A85">
              <w:rPr>
                <w:rFonts w:asciiTheme="majorBidi" w:hAnsiTheme="majorBidi" w:cstheme="majorBidi"/>
                <w:lang w:val="ro-MD"/>
              </w:rPr>
              <w:t>44. [...] Curtea admite că pot exista situații în care o lege temporară sau adoptată în circumstanțe speciale continuă să se aplice, în pofida adoptării unei legi noi, fără a încălca acest principiu. Totuși, asemenea reclamanților, Curtea observă că decretele de executare în cauză nu conțineau nicio limitare temporală a aplicabilității lor, fapt necontestat de Guvern. De asemenea, nu era vorba de o reglementare temporară care, prin natura sau obiectul său, trebuia să fie aplicată doar o perioadă limitată.</w:t>
            </w:r>
          </w:p>
          <w:p w14:paraId="73B3DC86" w14:textId="4ADC441A" w:rsidR="00F21D91" w:rsidRPr="009C3A85" w:rsidRDefault="00F21D91" w:rsidP="00F21D91">
            <w:pPr>
              <w:spacing w:after="120" w:line="276" w:lineRule="auto"/>
              <w:jc w:val="both"/>
              <w:rPr>
                <w:rFonts w:asciiTheme="majorBidi" w:hAnsiTheme="majorBidi" w:cstheme="majorBidi"/>
                <w:lang w:val="ro-MD"/>
              </w:rPr>
            </w:pPr>
            <w:r w:rsidRPr="009C3A85">
              <w:rPr>
                <w:rFonts w:asciiTheme="majorBidi" w:hAnsiTheme="majorBidi" w:cstheme="majorBidi"/>
                <w:lang w:val="ro-MD"/>
              </w:rPr>
              <w:t>45. În sfârșit, Curtea observă, asemenea reclamanților, că jurisprudența Curții de Casație, așa cum a fost aplicată în speță, a condus la o situație paradoxală: reclamanții au fost condamnați, pe lângă amenda penală, să demoleze construcțiile litigioase, deși, la momentul condamnării, nicio dispoziție legală nu le mai interzicea să efectueze aceleași lucrări fără autorizație de urbanism, întrucât acestea nu mai necesitau o astfel de autorizație.</w:t>
            </w:r>
          </w:p>
          <w:p w14:paraId="6A9ACB5B" w14:textId="3FD53DB5" w:rsidR="0087236C" w:rsidRPr="009C3A85" w:rsidRDefault="00F21D91" w:rsidP="00F21D91">
            <w:pPr>
              <w:spacing w:after="120" w:line="276" w:lineRule="auto"/>
              <w:jc w:val="both"/>
              <w:rPr>
                <w:rFonts w:asciiTheme="majorBidi" w:hAnsiTheme="majorBidi" w:cstheme="majorBidi"/>
                <w:lang w:val="ro-MD"/>
              </w:rPr>
            </w:pPr>
            <w:r w:rsidRPr="009C3A85">
              <w:rPr>
                <w:rFonts w:asciiTheme="majorBidi" w:hAnsiTheme="majorBidi" w:cstheme="majorBidi"/>
                <w:lang w:val="ro-MD"/>
              </w:rPr>
              <w:t>46. Considerentele de mai sus sunt suficiente pentru a permite Curții să concluzioneze că reclamanții au fost condamnați pentru fapte care nu mai erau incriminate la momentul condamnării, astfel încât principiul retroactivității legii penale mai favorabile a fost încălcat.</w:t>
            </w:r>
          </w:p>
        </w:tc>
        <w:tc>
          <w:tcPr>
            <w:tcW w:w="1422" w:type="dxa"/>
            <w:tcBorders>
              <w:bottom w:val="single" w:sz="4" w:space="0" w:color="auto"/>
            </w:tcBorders>
          </w:tcPr>
          <w:p w14:paraId="4F78561F" w14:textId="6E0DFFBA" w:rsidR="0087236C" w:rsidRPr="009C3A85" w:rsidRDefault="00DF7EB2"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5 000 EUR (cost./chelt.)</w:t>
            </w:r>
          </w:p>
        </w:tc>
      </w:tr>
      <w:tr w:rsidR="00082E52" w:rsidRPr="002904F1" w14:paraId="6E7EBCB0" w14:textId="77777777" w:rsidTr="00DC3BE4">
        <w:tc>
          <w:tcPr>
            <w:tcW w:w="13837" w:type="dxa"/>
            <w:gridSpan w:val="5"/>
            <w:tcBorders>
              <w:bottom w:val="single" w:sz="4" w:space="0" w:color="auto"/>
            </w:tcBorders>
            <w:shd w:val="clear" w:color="auto" w:fill="F0F8FF"/>
          </w:tcPr>
          <w:p w14:paraId="39723C44" w14:textId="39B64043" w:rsidR="00082E52" w:rsidRPr="009C3A85" w:rsidRDefault="00082E52" w:rsidP="00EF6956">
            <w:pPr>
              <w:pStyle w:val="1"/>
              <w:spacing w:line="276" w:lineRule="auto"/>
              <w:outlineLvl w:val="0"/>
            </w:pPr>
            <w:bookmarkStart w:id="6" w:name="_Toc213590710"/>
            <w:r w:rsidRPr="009C3A85">
              <w:t>Articolul 8. Dreptul la respectarea vieţii private şi de familie</w:t>
            </w:r>
            <w:bookmarkEnd w:id="6"/>
          </w:p>
        </w:tc>
      </w:tr>
      <w:tr w:rsidR="0087236C" w:rsidRPr="009C3A85" w14:paraId="6C367265" w14:textId="77777777" w:rsidTr="0038457E">
        <w:tc>
          <w:tcPr>
            <w:tcW w:w="1345" w:type="dxa"/>
            <w:tcBorders>
              <w:bottom w:val="single" w:sz="4" w:space="0" w:color="auto"/>
            </w:tcBorders>
          </w:tcPr>
          <w:p w14:paraId="5B6DDAB5" w14:textId="206C2F1E" w:rsidR="0087236C" w:rsidRPr="009C3A85" w:rsidRDefault="0087236C" w:rsidP="002201EB">
            <w:pPr>
              <w:spacing w:after="120" w:line="276" w:lineRule="auto"/>
              <w:jc w:val="center"/>
              <w:rPr>
                <w:rFonts w:asciiTheme="majorBidi" w:hAnsiTheme="majorBidi" w:cstheme="majorBidi"/>
                <w:lang w:val="ro-MD"/>
              </w:rPr>
            </w:pPr>
            <w:r w:rsidRPr="009C3A85">
              <w:rPr>
                <w:rFonts w:asciiTheme="majorBidi" w:hAnsiTheme="majorBidi" w:cstheme="majorBidi"/>
                <w:lang w:val="ro-MD"/>
              </w:rPr>
              <w:lastRenderedPageBreak/>
              <w:t>8</w:t>
            </w:r>
          </w:p>
          <w:p w14:paraId="7706C6B6" w14:textId="05424C18" w:rsidR="0087236C" w:rsidRPr="009C3A85" w:rsidRDefault="0087236C" w:rsidP="002201EB">
            <w:pPr>
              <w:spacing w:after="120" w:line="276" w:lineRule="auto"/>
              <w:jc w:val="center"/>
              <w:rPr>
                <w:rFonts w:asciiTheme="majorBidi" w:hAnsiTheme="majorBidi" w:cstheme="majorBidi"/>
                <w:lang w:val="ro-MD"/>
              </w:rPr>
            </w:pPr>
            <w:r w:rsidRPr="009C3A85">
              <w:rPr>
                <w:rFonts w:asciiTheme="majorBidi" w:hAnsiTheme="majorBidi" w:cstheme="majorBidi"/>
                <w:lang w:val="ro-MD"/>
              </w:rPr>
              <w:t>Obligații pozitive:</w:t>
            </w:r>
          </w:p>
          <w:p w14:paraId="1D8908C3" w14:textId="02399B48" w:rsidR="0087236C" w:rsidRPr="009C3A85" w:rsidRDefault="0087236C" w:rsidP="0087236C">
            <w:pPr>
              <w:spacing w:after="120" w:line="276" w:lineRule="auto"/>
              <w:jc w:val="center"/>
              <w:rPr>
                <w:rFonts w:asciiTheme="majorBidi" w:hAnsiTheme="majorBidi" w:cstheme="majorBidi"/>
                <w:lang w:val="ro-MD"/>
              </w:rPr>
            </w:pPr>
            <w:r w:rsidRPr="009C3A85">
              <w:rPr>
                <w:rFonts w:asciiTheme="majorBidi" w:hAnsiTheme="majorBidi" w:cstheme="majorBidi"/>
                <w:lang w:val="ro-MD"/>
              </w:rPr>
              <w:t>Viață privată și de familie</w:t>
            </w:r>
          </w:p>
        </w:tc>
        <w:tc>
          <w:tcPr>
            <w:tcW w:w="1260" w:type="dxa"/>
            <w:tcBorders>
              <w:bottom w:val="single" w:sz="4" w:space="0" w:color="auto"/>
            </w:tcBorders>
          </w:tcPr>
          <w:p w14:paraId="2D21F5BC" w14:textId="77777777" w:rsidR="0087236C" w:rsidRPr="009C3A85" w:rsidRDefault="0087236C" w:rsidP="002201EB">
            <w:pPr>
              <w:spacing w:after="120" w:line="276" w:lineRule="auto"/>
              <w:jc w:val="center"/>
              <w:rPr>
                <w:rFonts w:asciiTheme="majorBidi" w:hAnsiTheme="majorBidi" w:cstheme="majorBidi"/>
                <w:lang w:val="ro-MD"/>
              </w:rPr>
            </w:pPr>
            <w:r w:rsidRPr="009C3A85">
              <w:rPr>
                <w:rFonts w:asciiTheme="majorBidi" w:hAnsiTheme="majorBidi" w:cstheme="majorBidi"/>
                <w:lang w:val="ro-MD"/>
              </w:rPr>
              <w:t>17.01.2023</w:t>
            </w:r>
            <w:r w:rsidRPr="009C3A85">
              <w:rPr>
                <w:rFonts w:asciiTheme="majorBidi" w:hAnsiTheme="majorBidi" w:cstheme="majorBidi"/>
                <w:lang w:val="ro-MD"/>
              </w:rPr>
              <w:br/>
            </w:r>
            <w:hyperlink r:id="rId17" w:history="1">
              <w:r w:rsidRPr="009C3A85">
                <w:rPr>
                  <w:rStyle w:val="a4"/>
                  <w:rFonts w:asciiTheme="majorBidi" w:hAnsiTheme="majorBidi" w:cstheme="majorBidi"/>
                  <w:lang w:val="ro-MD"/>
                </w:rPr>
                <w:t>Fedotova și alții c. Federației Ruse [MC]</w:t>
              </w:r>
            </w:hyperlink>
          </w:p>
        </w:tc>
        <w:tc>
          <w:tcPr>
            <w:tcW w:w="2340" w:type="dxa"/>
            <w:tcBorders>
              <w:bottom w:val="single" w:sz="4" w:space="0" w:color="auto"/>
            </w:tcBorders>
          </w:tcPr>
          <w:p w14:paraId="0ADCFF6C" w14:textId="0E0C11BE" w:rsidR="0087236C" w:rsidRPr="009C3A85" w:rsidRDefault="0087236C" w:rsidP="00183742">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Lipsa oricărei forme de recunoaștere și de protecție juridică a cuplurilor de același sex; obligație pozitivă confirmată de a le oferi un cadru juridic de recunoaștere și protecție corespunzătoare; jurisprudență anterioară a Curții Europene, consolidată printr-o tendință clară și continuă a legislației majorității statelor părți și pozițiile convergente ale mai multor organe internaționale; marjă de apreciere redusă în materie de asigurare a unui cadru juridic și mai extinsă în materie de decizii privind natura exactă a formei de recunoaștere și a conținutului protecției; forma de căsătorie nu este necesară; motive invocate în interesul general care nu prevalează asupra </w:t>
            </w:r>
            <w:r w:rsidRPr="009C3A85">
              <w:rPr>
                <w:rFonts w:asciiTheme="majorBidi" w:hAnsiTheme="majorBidi" w:cstheme="majorBidi"/>
                <w:lang w:val="ro-MD"/>
              </w:rPr>
              <w:lastRenderedPageBreak/>
              <w:t>interesului reclamanților; marjă de apreciere depășită</w:t>
            </w:r>
          </w:p>
        </w:tc>
        <w:tc>
          <w:tcPr>
            <w:tcW w:w="7470" w:type="dxa"/>
            <w:tcBorders>
              <w:bottom w:val="single" w:sz="4" w:space="0" w:color="auto"/>
            </w:tcBorders>
          </w:tcPr>
          <w:p w14:paraId="5C5FE8FD" w14:textId="77777777" w:rsidR="00725416" w:rsidRPr="009C3A85" w:rsidRDefault="00725416" w:rsidP="00725416">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166. Jurisprudența Curții menționată mai sus cu privire la articolul 8 din Convenție, din care rezultă că statele părți au obligația pozitivă de a oferi recunoaștere și protecție juridică cuplurilor de același sex, este în concordanță cu evoluția tangibilă și continuă a legislațiilor interne ale statelor părți și a dreptului internațional.</w:t>
            </w:r>
          </w:p>
          <w:p w14:paraId="3CB54AE5" w14:textId="77777777" w:rsidR="0087236C" w:rsidRPr="009C3A85" w:rsidRDefault="00725416" w:rsidP="00725416">
            <w:pPr>
              <w:spacing w:after="120" w:line="276" w:lineRule="auto"/>
              <w:jc w:val="both"/>
              <w:rPr>
                <w:rFonts w:asciiTheme="majorBidi" w:hAnsiTheme="majorBidi" w:cstheme="majorBidi"/>
                <w:lang w:val="ro-MD"/>
              </w:rPr>
            </w:pPr>
            <w:r w:rsidRPr="009C3A85">
              <w:rPr>
                <w:rFonts w:asciiTheme="majorBidi" w:hAnsiTheme="majorBidi" w:cstheme="majorBidi"/>
                <w:lang w:val="ro-MD"/>
              </w:rPr>
              <w:t>167. Curtea reiterează că Convenția este un instrument viu, care trebuie interpretat în lumina condițiilor actuale și a ideilor care prevalează în statele democratice de astăzi. Întrucât Convenția este, în primul rând, un sistem de protecție a drepturilor omului, Curtea trebuie să țină cont de schimbările din statele contractante și să răspundă, de exemplu, oricărei convergențe în evoluție privind standardele ce trebuie atinse. După cum reiese din jurisprudența menționată mai sus, o lipsă a Curții de a menține o abordare dinamică și evolutivă ar risca să o transforme într-un obstacol pentru reformă sau progres.</w:t>
            </w:r>
          </w:p>
          <w:p w14:paraId="37C3C13C" w14:textId="77777777" w:rsidR="00C9614A" w:rsidRPr="009C3A85" w:rsidRDefault="00C9614A" w:rsidP="00725416">
            <w:pPr>
              <w:spacing w:after="120" w:line="276" w:lineRule="auto"/>
              <w:jc w:val="both"/>
              <w:rPr>
                <w:rFonts w:asciiTheme="majorBidi" w:hAnsiTheme="majorBidi" w:cstheme="majorBidi"/>
                <w:lang w:val="ro-MD"/>
              </w:rPr>
            </w:pPr>
            <w:r w:rsidRPr="009C3A85">
              <w:rPr>
                <w:rFonts w:asciiTheme="majorBidi" w:hAnsiTheme="majorBidi" w:cstheme="majorBidi"/>
                <w:lang w:val="ro-MD"/>
              </w:rPr>
              <w:t>[...]</w:t>
            </w:r>
          </w:p>
          <w:p w14:paraId="28F27700" w14:textId="77777777" w:rsidR="0093329A" w:rsidRPr="009C3A85" w:rsidRDefault="0093329A" w:rsidP="0093329A">
            <w:pPr>
              <w:spacing w:after="120" w:line="276" w:lineRule="auto"/>
              <w:jc w:val="both"/>
              <w:rPr>
                <w:rFonts w:asciiTheme="majorBidi" w:hAnsiTheme="majorBidi" w:cstheme="majorBidi"/>
                <w:lang w:val="ro-MD"/>
              </w:rPr>
            </w:pPr>
            <w:r w:rsidRPr="009C3A85">
              <w:rPr>
                <w:rFonts w:asciiTheme="majorBidi" w:hAnsiTheme="majorBidi" w:cstheme="majorBidi"/>
                <w:lang w:val="ro-MD"/>
              </w:rPr>
              <w:t>178.  Având în vedere jurisprudența sa, consolidată printr-o tendință clară și continuă în rândul statelor membre ale Consiliului Europei, Curtea confirmă că, în conformitate cu obligațiile lor pozitive în temeiul articolului 8 din Convenție, statele membre sunt obligate să prevadă un cadru juridic care să permită cuplurilor de același sex să beneficieze de o recunoaștere și protecție adecvată a relației lor.</w:t>
            </w:r>
          </w:p>
          <w:p w14:paraId="7B82F15D" w14:textId="77777777" w:rsidR="008801E4" w:rsidRPr="009C3A85" w:rsidRDefault="008801E4" w:rsidP="0093329A">
            <w:pPr>
              <w:spacing w:after="120" w:line="276" w:lineRule="auto"/>
              <w:jc w:val="both"/>
              <w:rPr>
                <w:rFonts w:asciiTheme="majorBidi" w:hAnsiTheme="majorBidi" w:cstheme="majorBidi"/>
                <w:lang w:val="ro-MD"/>
              </w:rPr>
            </w:pPr>
            <w:r w:rsidRPr="009C3A85">
              <w:rPr>
                <w:rFonts w:asciiTheme="majorBidi" w:hAnsiTheme="majorBidi" w:cstheme="majorBidi"/>
                <w:lang w:val="ro-MD"/>
              </w:rPr>
              <w:t>[...]</w:t>
            </w:r>
          </w:p>
          <w:p w14:paraId="7F6CEA7E" w14:textId="0E1E13E5" w:rsidR="00DE4334" w:rsidRPr="009C3A85" w:rsidRDefault="00DE4334" w:rsidP="00DE4334">
            <w:pPr>
              <w:spacing w:after="120" w:line="276" w:lineRule="auto"/>
              <w:jc w:val="both"/>
              <w:rPr>
                <w:rFonts w:asciiTheme="majorBidi" w:hAnsiTheme="majorBidi" w:cstheme="majorBidi"/>
                <w:lang w:val="ro-MD"/>
              </w:rPr>
            </w:pPr>
            <w:r w:rsidRPr="009C3A85">
              <w:rPr>
                <w:rFonts w:asciiTheme="majorBidi" w:hAnsiTheme="majorBidi" w:cstheme="majorBidi"/>
                <w:lang w:val="ro-MD"/>
              </w:rPr>
              <w:t>189. Curtea observă în acest sens că, deși se conturează o tendință clară și continuă către recunoașterea și protecția juridică a cuplurilor de același sex, nu se regăsește un consens similar cu privire la forma unei astfel de recunoașteri și la conținutul protecției respective. Astfel, în conformitate cu principiul subsidiarității care stă la baza Convenției, revine în primul rând statelor contractante sarcina de a decide asupra măsurilor necesare pentru a garanta drepturile prevăzute de Convenție tuturor persoanelor aflate sub „jurisdicția” lor, iar Curtea nu este chemată să stabilească ea însăși regimul juridic ce trebuie acordat cuplurilor de același sex.</w:t>
            </w:r>
          </w:p>
          <w:p w14:paraId="28C48F22" w14:textId="77777777" w:rsidR="008801E4" w:rsidRPr="009C3A85" w:rsidRDefault="00DE4334" w:rsidP="00DE4334">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190. Totuși, întrucât Convenția este menită să garanteze nu drepturi teoretice sau iluzorii, ci drepturi practice și efective, este important ca protecția oferită de statele părți cuplurilor de același sex să fie adecvată. În acest sens, Curtea a avut deja ocazia să facă referire, în anumite hotărâri, la aspecte — în special materiale (întreținere, fiscalitate sau moștenire) sau morale (drepturi și obligații privind asistența reciprocă) — care sunt parte integrantă a vieții de cuplu și care ar beneficia de o reglementare în cadrul unui sistem juridic accesibil cuplurilor de același sex.</w:t>
            </w:r>
          </w:p>
          <w:p w14:paraId="0EDBE71F" w14:textId="77777777" w:rsidR="001229F2" w:rsidRPr="009C3A85" w:rsidRDefault="006557C3" w:rsidP="00DE4334">
            <w:pPr>
              <w:spacing w:after="120" w:line="276" w:lineRule="auto"/>
              <w:jc w:val="both"/>
              <w:rPr>
                <w:rFonts w:asciiTheme="majorBidi" w:hAnsiTheme="majorBidi" w:cstheme="majorBidi"/>
                <w:lang w:val="ro-MD"/>
              </w:rPr>
            </w:pPr>
            <w:r w:rsidRPr="009C3A85">
              <w:rPr>
                <w:rFonts w:asciiTheme="majorBidi" w:hAnsiTheme="majorBidi" w:cstheme="majorBidi"/>
                <w:lang w:val="ro-MD"/>
              </w:rPr>
              <w:t>191. Având în vedere cele de mai sus, sarcina Curții este acum de a verifica dacă statul pârât și-a îndeplinit obligația pozitivă de a asigura recunoașterea și protecția pentru reclamanți. În acest scop, Curtea trebuie să examineze dacă, ținând seama de marja de apreciere de care beneficiază, statul pârât a realizat un just echilibru între interesele predominante pe care s-a bazat și interesele invocate de reclamanți.</w:t>
            </w:r>
          </w:p>
          <w:p w14:paraId="0BE54EFD" w14:textId="77777777" w:rsidR="00014832" w:rsidRPr="009C3A85" w:rsidRDefault="00014832" w:rsidP="00014832">
            <w:pPr>
              <w:spacing w:after="120" w:line="276" w:lineRule="auto"/>
              <w:jc w:val="both"/>
              <w:rPr>
                <w:rFonts w:asciiTheme="majorBidi" w:hAnsiTheme="majorBidi" w:cstheme="majorBidi"/>
                <w:lang w:val="ro-MD"/>
              </w:rPr>
            </w:pPr>
            <w:r w:rsidRPr="009C3A85">
              <w:rPr>
                <w:rFonts w:asciiTheme="majorBidi" w:hAnsiTheme="majorBidi" w:cstheme="majorBidi"/>
                <w:lang w:val="ro-MD"/>
              </w:rPr>
              <w:t>[...]</w:t>
            </w:r>
          </w:p>
          <w:p w14:paraId="1D85397D" w14:textId="7DF31C5B" w:rsidR="00014832" w:rsidRPr="009C3A85" w:rsidRDefault="00636FF6" w:rsidP="00636FF6">
            <w:pPr>
              <w:spacing w:after="120" w:line="276" w:lineRule="auto"/>
              <w:jc w:val="both"/>
              <w:rPr>
                <w:rFonts w:asciiTheme="majorBidi" w:hAnsiTheme="majorBidi" w:cstheme="majorBidi"/>
                <w:lang w:val="ro-MD"/>
              </w:rPr>
            </w:pPr>
            <w:r w:rsidRPr="009C3A85">
              <w:rPr>
                <w:rFonts w:asciiTheme="majorBidi" w:hAnsiTheme="majorBidi" w:cstheme="majorBidi"/>
                <w:lang w:val="ro-MD"/>
              </w:rPr>
              <w:t>203. În prezenta cauză, Curtea nu poate decât să concluzioneze că, în absența unei recunoașteri oficiale, cuplurile de același sex nu reprezintă nimic mai mult decât uniuni de facto în dreptul rus. Partenerii nu pot reglementa aspecte fundamentale ale vieții de cuplu, precum cele referitoare la proprietate, întreținere și moștenire, decât în calitate de persoane private care încheie contracte în temeiul dreptului comun, și nu în calitate de cuplu recunoscut oficial. De asemenea, aceștia nu pot invoca existența relației lor în raporturile cu autoritățile judiciare sau administrative. Într-adevăr, faptul că partenerii de același sex sunt obligați să se adreseze instanțelor interne pentru protejarea nevoilor lor de bază ca și cuplu constituie, în sine, un obstacol în respectarea vieții lor private și de familie.</w:t>
            </w:r>
          </w:p>
          <w:p w14:paraId="7293C0DF" w14:textId="04153275" w:rsidR="00EC1D16" w:rsidRPr="009C3A85" w:rsidRDefault="00EC1D16" w:rsidP="00636FF6">
            <w:pPr>
              <w:spacing w:after="120" w:line="276" w:lineRule="auto"/>
              <w:jc w:val="both"/>
              <w:rPr>
                <w:rFonts w:asciiTheme="majorBidi" w:hAnsiTheme="majorBidi" w:cstheme="majorBidi"/>
                <w:lang w:val="ro-MD"/>
              </w:rPr>
            </w:pPr>
            <w:r w:rsidRPr="009C3A85">
              <w:rPr>
                <w:rFonts w:asciiTheme="majorBidi" w:hAnsiTheme="majorBidi" w:cstheme="majorBidi"/>
                <w:lang w:val="ro-MD"/>
              </w:rPr>
              <w:t>204. Având în vedere cele de mai sus, cadrul juridic rus, aplicat reclamanților, nu poate fi considerat a asigura nevoile fundamentale de recunoaștere și protecție a cuplurilor de același sex aflate într-o relație stabilă și angajată.</w:t>
            </w:r>
          </w:p>
          <w:p w14:paraId="1AFB41DC" w14:textId="77777777" w:rsidR="006C61D2" w:rsidRPr="009C3A85" w:rsidRDefault="006C61D2" w:rsidP="006C61D2">
            <w:pPr>
              <w:spacing w:after="120" w:line="276" w:lineRule="auto"/>
              <w:jc w:val="both"/>
              <w:rPr>
                <w:rFonts w:asciiTheme="majorBidi" w:hAnsiTheme="majorBidi" w:cstheme="majorBidi"/>
                <w:lang w:val="ro-MD"/>
              </w:rPr>
            </w:pPr>
            <w:r w:rsidRPr="009C3A85">
              <w:rPr>
                <w:rFonts w:asciiTheme="majorBidi" w:hAnsiTheme="majorBidi" w:cstheme="majorBidi"/>
                <w:lang w:val="ro-MD"/>
              </w:rPr>
              <w:t>[...]</w:t>
            </w:r>
          </w:p>
          <w:p w14:paraId="5B3F88B5" w14:textId="4D6D46DD" w:rsidR="006C61D2" w:rsidRPr="009C3A85" w:rsidRDefault="00EC1D16" w:rsidP="00636FF6">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224. Pe baza evaluării sale, Curtea constată că niciunul dintre motivele de interes public invocate de Guvern nu prevalează asupra interesului reclamanților de a-și vedea relațiile respective recunoscute și protejate în mod adecvat de lege. Curtea concluzionează că statul pârât a depășit marja sa de apreciere și nu și-a îndeplinit obligația pozitivă de a asigura reclamanților dreptul la respectarea vieții lor private și de familie.</w:t>
            </w:r>
          </w:p>
        </w:tc>
        <w:tc>
          <w:tcPr>
            <w:tcW w:w="1422" w:type="dxa"/>
            <w:tcBorders>
              <w:bottom w:val="single" w:sz="4" w:space="0" w:color="auto"/>
            </w:tcBorders>
          </w:tcPr>
          <w:p w14:paraId="2F6C639E" w14:textId="7E69424D" w:rsidR="0087236C" w:rsidRPr="009C3A85" w:rsidRDefault="00E95D13" w:rsidP="002201EB">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Constatarea încălcării - satisfacție echitabilă</w:t>
            </w:r>
          </w:p>
        </w:tc>
      </w:tr>
      <w:tr w:rsidR="0087236C" w:rsidRPr="009C3A85" w14:paraId="21D458CD" w14:textId="77777777" w:rsidTr="0038457E">
        <w:tc>
          <w:tcPr>
            <w:tcW w:w="1345" w:type="dxa"/>
            <w:tcBorders>
              <w:bottom w:val="single" w:sz="4" w:space="0" w:color="auto"/>
            </w:tcBorders>
          </w:tcPr>
          <w:p w14:paraId="64B1E249" w14:textId="1742F884" w:rsidR="0087236C" w:rsidRPr="009C3A85" w:rsidRDefault="0087236C" w:rsidP="002201EB">
            <w:pPr>
              <w:spacing w:after="120" w:line="276" w:lineRule="auto"/>
              <w:jc w:val="center"/>
              <w:rPr>
                <w:rFonts w:asciiTheme="majorBidi" w:hAnsiTheme="majorBidi" w:cstheme="majorBidi"/>
                <w:lang w:val="ro-MD"/>
              </w:rPr>
            </w:pPr>
            <w:r w:rsidRPr="009C3A85">
              <w:rPr>
                <w:rFonts w:asciiTheme="majorBidi" w:hAnsiTheme="majorBidi" w:cstheme="majorBidi"/>
                <w:lang w:val="ro-MD"/>
              </w:rPr>
              <w:lastRenderedPageBreak/>
              <w:t>8</w:t>
            </w:r>
          </w:p>
          <w:p w14:paraId="7DA0CB87" w14:textId="160F5162" w:rsidR="0087236C" w:rsidRPr="009C3A85" w:rsidRDefault="0087236C" w:rsidP="002201EB">
            <w:pPr>
              <w:spacing w:after="120" w:line="276" w:lineRule="auto"/>
              <w:jc w:val="center"/>
              <w:rPr>
                <w:rFonts w:asciiTheme="majorBidi" w:hAnsiTheme="majorBidi" w:cstheme="majorBidi"/>
                <w:lang w:val="ro-MD"/>
              </w:rPr>
            </w:pPr>
            <w:r w:rsidRPr="009C3A85">
              <w:rPr>
                <w:rFonts w:asciiTheme="majorBidi" w:hAnsiTheme="majorBidi" w:cstheme="majorBidi"/>
                <w:lang w:val="ro-MD"/>
              </w:rPr>
              <w:t>Obligații pozitive:</w:t>
            </w:r>
          </w:p>
          <w:p w14:paraId="58DE590B" w14:textId="25C69CCB" w:rsidR="0087236C" w:rsidRPr="009C3A85" w:rsidRDefault="0087236C" w:rsidP="002201EB">
            <w:pPr>
              <w:spacing w:after="120" w:line="276" w:lineRule="auto"/>
              <w:jc w:val="center"/>
              <w:rPr>
                <w:rFonts w:asciiTheme="majorBidi" w:hAnsiTheme="majorBidi" w:cstheme="majorBidi"/>
                <w:lang w:val="ro-MD"/>
              </w:rPr>
            </w:pPr>
            <w:r w:rsidRPr="009C3A85">
              <w:rPr>
                <w:rFonts w:asciiTheme="majorBidi" w:hAnsiTheme="majorBidi" w:cstheme="majorBidi"/>
                <w:lang w:val="ro-MD"/>
              </w:rPr>
              <w:t>Viața privată</w:t>
            </w:r>
          </w:p>
        </w:tc>
        <w:tc>
          <w:tcPr>
            <w:tcW w:w="1260" w:type="dxa"/>
            <w:tcBorders>
              <w:bottom w:val="single" w:sz="4" w:space="0" w:color="auto"/>
            </w:tcBorders>
          </w:tcPr>
          <w:p w14:paraId="650ADAD4" w14:textId="77777777" w:rsidR="0087236C" w:rsidRPr="009C3A85" w:rsidRDefault="0087236C" w:rsidP="002201EB">
            <w:pPr>
              <w:spacing w:after="120" w:line="276" w:lineRule="auto"/>
              <w:jc w:val="center"/>
              <w:rPr>
                <w:rFonts w:asciiTheme="majorBidi" w:hAnsiTheme="majorBidi" w:cstheme="majorBidi"/>
                <w:lang w:val="ro-MD"/>
              </w:rPr>
            </w:pPr>
            <w:r w:rsidRPr="009C3A85">
              <w:rPr>
                <w:rFonts w:asciiTheme="majorBidi" w:hAnsiTheme="majorBidi" w:cstheme="majorBidi"/>
                <w:lang w:val="ro-MD"/>
              </w:rPr>
              <w:t>14.05.2024</w:t>
            </w:r>
            <w:r w:rsidRPr="009C3A85">
              <w:rPr>
                <w:rFonts w:asciiTheme="majorBidi" w:hAnsiTheme="majorBidi" w:cstheme="majorBidi"/>
                <w:lang w:val="ro-MD"/>
              </w:rPr>
              <w:br/>
            </w:r>
            <w:hyperlink r:id="rId18" w:history="1">
              <w:r w:rsidRPr="009C3A85">
                <w:rPr>
                  <w:rStyle w:val="a4"/>
                  <w:rFonts w:asciiTheme="majorBidi" w:hAnsiTheme="majorBidi" w:cstheme="majorBidi"/>
                  <w:lang w:val="ro-MD"/>
                </w:rPr>
                <w:t>Oleg Balan c. Republicii Moldova</w:t>
              </w:r>
            </w:hyperlink>
          </w:p>
        </w:tc>
        <w:tc>
          <w:tcPr>
            <w:tcW w:w="2340" w:type="dxa"/>
            <w:tcBorders>
              <w:bottom w:val="single" w:sz="4" w:space="0" w:color="auto"/>
            </w:tcBorders>
          </w:tcPr>
          <w:p w14:paraId="6C79DD11" w14:textId="673034C0" w:rsidR="0087236C" w:rsidRPr="009C3A85" w:rsidRDefault="0087236C" w:rsidP="002201EB">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Respingerea acțiunii în defăimare introdusă de reclamant, în calitate de ministru de interne, împotriva liderului unui partid politic de opoziție pentru declarații făcute într-un document publicat pe pagina personală de Facebook a acestuia din urmă; neatingerea unui echilibru just între drepturile concurente prevăzute la articolele 8 și 10; pârâtul a fost tratat în mod expres, fără explicații, ca jurnalist de investigație și „persoană publică”, ceea ce a dus la aplicarea prezumției de bună-credință aplicabilă jurnaliștilor de </w:t>
            </w:r>
            <w:r w:rsidRPr="009C3A85">
              <w:rPr>
                <w:rFonts w:asciiTheme="majorBidi" w:hAnsiTheme="majorBidi" w:cstheme="majorBidi"/>
                <w:lang w:val="ro-MD"/>
              </w:rPr>
              <w:lastRenderedPageBreak/>
              <w:t>investigație; neefectuarea unei analize atente a elementelor dosarului privind protecția dreptului reclamantului la reputație.</w:t>
            </w:r>
          </w:p>
        </w:tc>
        <w:tc>
          <w:tcPr>
            <w:tcW w:w="7470" w:type="dxa"/>
            <w:tcBorders>
              <w:bottom w:val="single" w:sz="4" w:space="0" w:color="auto"/>
            </w:tcBorders>
          </w:tcPr>
          <w:p w14:paraId="0BF7893C" w14:textId="40CD418F" w:rsidR="000C2BDC" w:rsidRPr="009C3A85" w:rsidRDefault="000C2BDC" w:rsidP="000C2BDC">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 xml:space="preserve">28. [C]urtea observă că nu a existat niciun dezacord între părți cu privire la faptul că respingerea pretențiilor împotriva dlui Usatîi a angajat obligația pozitivă a autorităților, în baza Articolului 8 din Convenție, de a proteja reputația reclamantului. Prin urmare, Curtea se va concentra pe faptul dacă autoritățile și-au respectat obligațiile pozitive.   </w:t>
            </w:r>
          </w:p>
          <w:p w14:paraId="7BA2E6E9" w14:textId="51A4E3D2" w:rsidR="0087236C" w:rsidRPr="009C3A85" w:rsidRDefault="000C2BDC" w:rsidP="000C2BDC">
            <w:pPr>
              <w:spacing w:after="120" w:line="276" w:lineRule="auto"/>
              <w:jc w:val="both"/>
              <w:rPr>
                <w:rFonts w:asciiTheme="majorBidi" w:hAnsiTheme="majorBidi" w:cstheme="majorBidi"/>
                <w:lang w:val="ro-MD"/>
              </w:rPr>
            </w:pPr>
            <w:r w:rsidRPr="009C3A85">
              <w:rPr>
                <w:rFonts w:asciiTheme="majorBidi" w:hAnsiTheme="majorBidi" w:cstheme="majorBidi"/>
                <w:lang w:val="ro-MD"/>
              </w:rPr>
              <w:t>29.  În acest sens, Curtea a identificat anterior o serie de criterii care trebuie utilizate pentru a pune în balanță cele două drepturi concurente prevăzute la Articolele 8 și 10 din Convenție, printre care se numără următoarele: subiectul publicației și contribuția acesteia la o dezbatere de interes public; cât de cunoscută este persoana în cauză; comportamentul anterior al persoanei în cauză; conținutul, forma și consecințele publicației; și, dacă este cazul, modul în care au fost obținute informațiile relevante</w:t>
            </w:r>
            <w:r w:rsidR="00B320FC" w:rsidRPr="009C3A85">
              <w:rPr>
                <w:rFonts w:asciiTheme="majorBidi" w:hAnsiTheme="majorBidi" w:cstheme="majorBidi"/>
                <w:lang w:val="ro-MD"/>
              </w:rPr>
              <w:t xml:space="preserve"> [...].</w:t>
            </w:r>
          </w:p>
          <w:p w14:paraId="1A22BE27" w14:textId="6AAA4810" w:rsidR="000C2BDC" w:rsidRPr="009C3A85" w:rsidRDefault="00B320FC" w:rsidP="00B320FC">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43. Deși Curtea Supremă de Justiție s-a bazat pe principiile aplicabile ale Convenției și pe jurisprudența Curții, Curtea nu este convinsă că ea a realizat un echilibru corect între drepturile concurente implicate în baza Convenției. În special, ea l-a tratat pe dl Usatîi ca pe un jurnalist de investigație și ca pe o „persoană publică”, și a decis să aplice prezumția de bună-credință aplicabilă jurnaliștilor de investigație în cazul său. Cu toate acestea, ea nu a efectuat propria analiză atentă a elementelor din dosar referitoare la protecția dreptului reclamantului la reputație, cum ar fi dacă nota neverificată coincidea, cel puțin parțial, cu informații cunoscute sau verificate; dacă dl Usatîi a încercat să verifice autenticitatea notei sau a conținutului său; modul în care el prezentase raportul cititorilor săi (în special, </w:t>
            </w:r>
            <w:r w:rsidRPr="009C3A85">
              <w:rPr>
                <w:rFonts w:asciiTheme="majorBidi" w:hAnsiTheme="majorBidi" w:cstheme="majorBidi"/>
                <w:lang w:val="ro-MD"/>
              </w:rPr>
              <w:lastRenderedPageBreak/>
              <w:t>faptul că nu i-a avertizat în legătură cu sursa și conținutul neverificat al notei); și dacă el publicase informații ulterioare cu privire la notă.</w:t>
            </w:r>
          </w:p>
        </w:tc>
        <w:tc>
          <w:tcPr>
            <w:tcW w:w="1422" w:type="dxa"/>
            <w:tcBorders>
              <w:bottom w:val="single" w:sz="4" w:space="0" w:color="auto"/>
            </w:tcBorders>
          </w:tcPr>
          <w:p w14:paraId="41E5A414" w14:textId="77777777" w:rsidR="0087236C" w:rsidRPr="009C3A85" w:rsidRDefault="0087236C" w:rsidP="002201EB">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1 500 EUR (moral)</w:t>
            </w:r>
          </w:p>
        </w:tc>
      </w:tr>
      <w:tr w:rsidR="00E9001F" w:rsidRPr="009C3A85" w14:paraId="311236AD" w14:textId="77777777" w:rsidTr="00DC3BE4">
        <w:tc>
          <w:tcPr>
            <w:tcW w:w="13837" w:type="dxa"/>
            <w:gridSpan w:val="5"/>
            <w:tcBorders>
              <w:bottom w:val="single" w:sz="4" w:space="0" w:color="auto"/>
            </w:tcBorders>
            <w:shd w:val="clear" w:color="auto" w:fill="F8F8FF"/>
          </w:tcPr>
          <w:p w14:paraId="2B608670" w14:textId="35526D84" w:rsidR="00E9001F" w:rsidRPr="009C3A85" w:rsidRDefault="00E9001F" w:rsidP="00EF6956">
            <w:pPr>
              <w:pStyle w:val="1"/>
              <w:spacing w:line="276" w:lineRule="auto"/>
              <w:outlineLvl w:val="0"/>
            </w:pPr>
            <w:bookmarkStart w:id="7" w:name="_Toc213590711"/>
            <w:r w:rsidRPr="009C3A85">
              <w:t xml:space="preserve">Articolul </w:t>
            </w:r>
            <w:r w:rsidR="002F4E22" w:rsidRPr="009C3A85">
              <w:t>10</w:t>
            </w:r>
            <w:r w:rsidRPr="009C3A85">
              <w:t xml:space="preserve">. </w:t>
            </w:r>
            <w:r w:rsidR="002F4E22" w:rsidRPr="009C3A85">
              <w:t>Libertatea de exprimare</w:t>
            </w:r>
            <w:bookmarkEnd w:id="7"/>
          </w:p>
        </w:tc>
      </w:tr>
      <w:tr w:rsidR="0087236C" w:rsidRPr="009C3A85" w14:paraId="183F421E" w14:textId="77777777" w:rsidTr="0038457E">
        <w:tc>
          <w:tcPr>
            <w:tcW w:w="1345" w:type="dxa"/>
            <w:tcBorders>
              <w:bottom w:val="single" w:sz="4" w:space="0" w:color="auto"/>
            </w:tcBorders>
          </w:tcPr>
          <w:p w14:paraId="6E0781A3" w14:textId="77777777" w:rsidR="0087236C" w:rsidRPr="009C3A85" w:rsidRDefault="0087236C" w:rsidP="0087236C">
            <w:pPr>
              <w:spacing w:after="120" w:line="276" w:lineRule="auto"/>
              <w:jc w:val="center"/>
              <w:rPr>
                <w:rFonts w:asciiTheme="majorBidi" w:hAnsiTheme="majorBidi" w:cstheme="majorBidi"/>
                <w:lang w:val="ro-MD"/>
              </w:rPr>
            </w:pPr>
            <w:r w:rsidRPr="009C3A85">
              <w:rPr>
                <w:rFonts w:asciiTheme="majorBidi" w:hAnsiTheme="majorBidi" w:cstheme="majorBidi"/>
                <w:lang w:val="ro-MD"/>
              </w:rPr>
              <w:t>10</w:t>
            </w:r>
          </w:p>
          <w:p w14:paraId="6151B97F" w14:textId="73C59209" w:rsidR="00DE1C0C" w:rsidRPr="009C3A85" w:rsidRDefault="00DE1C0C" w:rsidP="0087236C">
            <w:pPr>
              <w:spacing w:after="120" w:line="276" w:lineRule="auto"/>
              <w:jc w:val="center"/>
              <w:rPr>
                <w:rFonts w:asciiTheme="majorBidi" w:hAnsiTheme="majorBidi" w:cstheme="majorBidi"/>
                <w:lang w:val="ro-MD"/>
              </w:rPr>
            </w:pPr>
            <w:r w:rsidRPr="009C3A85">
              <w:rPr>
                <w:rFonts w:asciiTheme="majorBidi" w:hAnsiTheme="majorBidi" w:cstheme="majorBidi"/>
                <w:lang w:val="ro-MD"/>
              </w:rPr>
              <w:t>Dreptul de a comunica informații</w:t>
            </w:r>
          </w:p>
        </w:tc>
        <w:tc>
          <w:tcPr>
            <w:tcW w:w="1260" w:type="dxa"/>
            <w:tcBorders>
              <w:bottom w:val="single" w:sz="4" w:space="0" w:color="auto"/>
            </w:tcBorders>
          </w:tcPr>
          <w:p w14:paraId="17462105" w14:textId="77777777"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04.07.2023</w:t>
            </w:r>
            <w:r w:rsidRPr="009C3A85">
              <w:rPr>
                <w:rFonts w:asciiTheme="majorBidi" w:hAnsiTheme="majorBidi" w:cstheme="majorBidi"/>
                <w:lang w:val="ro-MD"/>
              </w:rPr>
              <w:br/>
            </w:r>
            <w:hyperlink r:id="rId19" w:history="1">
              <w:r w:rsidRPr="009C3A85">
                <w:rPr>
                  <w:rStyle w:val="a4"/>
                  <w:rFonts w:asciiTheme="majorBidi" w:hAnsiTheme="majorBidi" w:cstheme="majorBidi"/>
                  <w:lang w:val="ro-MD"/>
                </w:rPr>
                <w:t>Hurbain c. Belgiei [MC]</w:t>
              </w:r>
            </w:hyperlink>
          </w:p>
        </w:tc>
        <w:tc>
          <w:tcPr>
            <w:tcW w:w="2340" w:type="dxa"/>
            <w:tcBorders>
              <w:bottom w:val="single" w:sz="4" w:space="0" w:color="auto"/>
            </w:tcBorders>
          </w:tcPr>
          <w:p w14:paraId="786D7529" w14:textId="0FD16442" w:rsidR="0087236C" w:rsidRPr="009C3A85" w:rsidRDefault="00A00A79" w:rsidP="00A00A79">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Editorul unui ziar obligat să anonimizeze versiunea arhivată online a unui articol licit publicat cu douăzeci de ani în urmă, pe motivul „dreptului de a fi uitat” al șoferului care a provocat un accident mortal; </w:t>
            </w:r>
            <w:r w:rsidR="004D7ABC" w:rsidRPr="009C3A85">
              <w:rPr>
                <w:rFonts w:asciiTheme="majorBidi" w:hAnsiTheme="majorBidi" w:cstheme="majorBidi"/>
                <w:lang w:val="ro-MD"/>
              </w:rPr>
              <w:t>n</w:t>
            </w:r>
            <w:r w:rsidRPr="009C3A85">
              <w:rPr>
                <w:rFonts w:asciiTheme="majorBidi" w:hAnsiTheme="majorBidi" w:cstheme="majorBidi"/>
                <w:lang w:val="ro-MD"/>
              </w:rPr>
              <w:t xml:space="preserve">ecesitatea de a păstra integritatea arhivelor presei; </w:t>
            </w:r>
            <w:r w:rsidR="004D7ABC" w:rsidRPr="009C3A85">
              <w:rPr>
                <w:rFonts w:asciiTheme="majorBidi" w:hAnsiTheme="majorBidi" w:cstheme="majorBidi"/>
                <w:lang w:val="ro-MD"/>
              </w:rPr>
              <w:t>c</w:t>
            </w:r>
            <w:r w:rsidRPr="009C3A85">
              <w:rPr>
                <w:rFonts w:asciiTheme="majorBidi" w:hAnsiTheme="majorBidi" w:cstheme="majorBidi"/>
                <w:lang w:val="ro-MD"/>
              </w:rPr>
              <w:t xml:space="preserve">larificarea domeniului de aplicare al „dreptului de a fi uitat online”, un drept neautonom legat de dreptul la respectarea reputației; </w:t>
            </w:r>
            <w:r w:rsidR="004D7ABC" w:rsidRPr="009C3A85">
              <w:rPr>
                <w:rFonts w:asciiTheme="majorBidi" w:hAnsiTheme="majorBidi" w:cstheme="majorBidi"/>
                <w:lang w:val="ro-MD"/>
              </w:rPr>
              <w:t>s</w:t>
            </w:r>
            <w:r w:rsidRPr="009C3A85">
              <w:rPr>
                <w:rFonts w:asciiTheme="majorBidi" w:hAnsiTheme="majorBidi" w:cstheme="majorBidi"/>
                <w:lang w:val="ro-MD"/>
              </w:rPr>
              <w:t xml:space="preserve">tabilirea criteriilor și regulilor pentru echilibrarea diferitelor drepturi aflate în joc; </w:t>
            </w:r>
            <w:r w:rsidR="004D7ABC" w:rsidRPr="009C3A85">
              <w:rPr>
                <w:rFonts w:asciiTheme="majorBidi" w:hAnsiTheme="majorBidi" w:cstheme="majorBidi"/>
                <w:lang w:val="ro-MD"/>
              </w:rPr>
              <w:t>l</w:t>
            </w:r>
            <w:r w:rsidRPr="009C3A85">
              <w:rPr>
                <w:rFonts w:asciiTheme="majorBidi" w:hAnsiTheme="majorBidi" w:cstheme="majorBidi"/>
                <w:lang w:val="ro-MD"/>
              </w:rPr>
              <w:t xml:space="preserve">uarea în </w:t>
            </w:r>
            <w:r w:rsidRPr="009C3A85">
              <w:rPr>
                <w:rFonts w:asciiTheme="majorBidi" w:hAnsiTheme="majorBidi" w:cstheme="majorBidi"/>
                <w:lang w:val="ro-MD"/>
              </w:rPr>
              <w:lastRenderedPageBreak/>
              <w:t xml:space="preserve">considerare de către instanțele naționale a naturii și gravității faptelor judiciare relatate în articol, a lipsei unui interes actual, istoric sau științific și a faptului că persoana în cauză nu era bine cunoscută; </w:t>
            </w:r>
            <w:r w:rsidR="004D7ABC" w:rsidRPr="009C3A85">
              <w:rPr>
                <w:rFonts w:asciiTheme="majorBidi" w:hAnsiTheme="majorBidi" w:cstheme="majorBidi"/>
                <w:lang w:val="ro-MD"/>
              </w:rPr>
              <w:t>d</w:t>
            </w:r>
            <w:r w:rsidRPr="009C3A85">
              <w:rPr>
                <w:rFonts w:asciiTheme="majorBidi" w:hAnsiTheme="majorBidi" w:cstheme="majorBidi"/>
                <w:lang w:val="ro-MD"/>
              </w:rPr>
              <w:t xml:space="preserve">isponibilitatea continuă online a articolului fără restricții, aptă să creeze un „cazier judiciar virtual”, având în vedere reabilitarea persoanei vizate și timpul considerabil scurs de la publicarea articolului original; </w:t>
            </w:r>
            <w:r w:rsidR="004D7ABC" w:rsidRPr="009C3A85">
              <w:rPr>
                <w:rFonts w:asciiTheme="majorBidi" w:hAnsiTheme="majorBidi" w:cstheme="majorBidi"/>
                <w:lang w:val="ro-MD"/>
              </w:rPr>
              <w:t>a</w:t>
            </w:r>
            <w:r w:rsidRPr="009C3A85">
              <w:rPr>
                <w:rFonts w:asciiTheme="majorBidi" w:hAnsiTheme="majorBidi" w:cstheme="majorBidi"/>
                <w:lang w:val="ro-MD"/>
              </w:rPr>
              <w:t xml:space="preserve">nonimizarea nu a impus editorului o sarcină excesivă și nepractică, constituind totodată mijlocul cel mai eficient de protejare a vieții private a persoanei vizate; </w:t>
            </w:r>
            <w:r w:rsidR="004D7ABC" w:rsidRPr="009C3A85">
              <w:rPr>
                <w:rFonts w:asciiTheme="majorBidi" w:hAnsiTheme="majorBidi" w:cstheme="majorBidi"/>
                <w:lang w:val="ro-MD"/>
              </w:rPr>
              <w:t>e</w:t>
            </w:r>
            <w:r w:rsidRPr="009C3A85">
              <w:rPr>
                <w:rFonts w:asciiTheme="majorBidi" w:hAnsiTheme="majorBidi" w:cstheme="majorBidi"/>
                <w:lang w:val="ro-MD"/>
              </w:rPr>
              <w:t xml:space="preserve">chilibrarea intereselor concurente de către instanțele naționale în </w:t>
            </w:r>
            <w:r w:rsidRPr="009C3A85">
              <w:rPr>
                <w:rFonts w:asciiTheme="majorBidi" w:hAnsiTheme="majorBidi" w:cstheme="majorBidi"/>
                <w:lang w:val="ro-MD"/>
              </w:rPr>
              <w:lastRenderedPageBreak/>
              <w:t xml:space="preserve">conformitate cu cerințele Convenției; </w:t>
            </w:r>
            <w:r w:rsidR="004D7ABC" w:rsidRPr="009C3A85">
              <w:rPr>
                <w:rFonts w:asciiTheme="majorBidi" w:hAnsiTheme="majorBidi" w:cstheme="majorBidi"/>
                <w:lang w:val="ro-MD"/>
              </w:rPr>
              <w:t>i</w:t>
            </w:r>
            <w:r w:rsidRPr="009C3A85">
              <w:rPr>
                <w:rFonts w:asciiTheme="majorBidi" w:hAnsiTheme="majorBidi" w:cstheme="majorBidi"/>
                <w:lang w:val="ro-MD"/>
              </w:rPr>
              <w:t>ngerință proporțională și limitată la ceea ce era strict necesar.</w:t>
            </w:r>
          </w:p>
        </w:tc>
        <w:tc>
          <w:tcPr>
            <w:tcW w:w="7470" w:type="dxa"/>
            <w:tcBorders>
              <w:bottom w:val="single" w:sz="4" w:space="0" w:color="auto"/>
            </w:tcBorders>
          </w:tcPr>
          <w:p w14:paraId="6E45B04A" w14:textId="67BF8721" w:rsidR="00352F8C" w:rsidRPr="009C3A85" w:rsidRDefault="00352F8C" w:rsidP="00352F8C">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167. Curtea observă că nu este contestat între părți faptul că ordinul prin care i s-a solicitat reclamantului să anonimizeze versiunea arhivată a articolului în litigiu de pe site-ul ziarului Le Soir a constituit o ingerință în exercitarea dreptului său la libertatea de exprimare și libertatea presei, astfel cum sunt protejate de articolul 10 din Convenție.</w:t>
            </w:r>
          </w:p>
          <w:p w14:paraId="5C469B28" w14:textId="1345D040" w:rsidR="00352F8C" w:rsidRPr="009C3A85" w:rsidRDefault="00352F8C" w:rsidP="00352F8C">
            <w:pPr>
              <w:spacing w:after="120" w:line="276" w:lineRule="auto"/>
              <w:jc w:val="both"/>
              <w:rPr>
                <w:rFonts w:asciiTheme="majorBidi" w:hAnsiTheme="majorBidi" w:cstheme="majorBidi"/>
                <w:lang w:val="ro-MD"/>
              </w:rPr>
            </w:pPr>
            <w:r w:rsidRPr="009C3A85">
              <w:rPr>
                <w:rFonts w:asciiTheme="majorBidi" w:hAnsiTheme="majorBidi" w:cstheme="majorBidi"/>
                <w:lang w:val="ro-MD"/>
              </w:rPr>
              <w:t>168. Mai mult, în procedura în fața Marii Camere, reclamantul nu a reiterat argumentele prezentate în fața Camerei cu privire la pretinsa lipsă a unei baze legale previzibile pentru ingerință. În consecință, Marea Cameră nu vede niciun motiv pentru a se îndepărta de constatările Camerei în această privință.</w:t>
            </w:r>
          </w:p>
          <w:p w14:paraId="77E4D909" w14:textId="64EA2A4D" w:rsidR="00352F8C" w:rsidRPr="009C3A85" w:rsidRDefault="00352F8C" w:rsidP="00352F8C">
            <w:pPr>
              <w:spacing w:after="120" w:line="276" w:lineRule="auto"/>
              <w:jc w:val="both"/>
              <w:rPr>
                <w:rFonts w:asciiTheme="majorBidi" w:hAnsiTheme="majorBidi" w:cstheme="majorBidi"/>
                <w:lang w:val="ro-MD"/>
              </w:rPr>
            </w:pPr>
            <w:r w:rsidRPr="009C3A85">
              <w:rPr>
                <w:rFonts w:asciiTheme="majorBidi" w:hAnsiTheme="majorBidi" w:cstheme="majorBidi"/>
                <w:lang w:val="ro-MD"/>
              </w:rPr>
              <w:t>169. De asemenea, existența unui scop legitim – respectiv protejarea reputației sau drepturilor altora (în speță, dreptul lui G. la respectarea vieții sale private) – nu este contestată de către părți. Curtea împărtășește această apreciere.</w:t>
            </w:r>
          </w:p>
          <w:p w14:paraId="2A2C2ABD" w14:textId="77777777" w:rsidR="0087236C" w:rsidRPr="009C3A85" w:rsidRDefault="00352F8C" w:rsidP="00352F8C">
            <w:pPr>
              <w:spacing w:after="120" w:line="276" w:lineRule="auto"/>
              <w:jc w:val="both"/>
              <w:rPr>
                <w:rFonts w:asciiTheme="majorBidi" w:hAnsiTheme="majorBidi" w:cstheme="majorBidi"/>
                <w:lang w:val="ro-MD"/>
              </w:rPr>
            </w:pPr>
            <w:r w:rsidRPr="009C3A85">
              <w:rPr>
                <w:rFonts w:asciiTheme="majorBidi" w:hAnsiTheme="majorBidi" w:cstheme="majorBidi"/>
                <w:lang w:val="ro-MD"/>
              </w:rPr>
              <w:t>170. Prin urmare, rămâne ca Marea Cameră să examineze dacă ingerința a fost „necesară într-o societate democratică”.</w:t>
            </w:r>
          </w:p>
          <w:p w14:paraId="2B6F3A49" w14:textId="77777777" w:rsidR="000E5088" w:rsidRPr="009C3A85" w:rsidRDefault="000E5088" w:rsidP="00352F8C">
            <w:pPr>
              <w:spacing w:after="120" w:line="276" w:lineRule="auto"/>
              <w:jc w:val="both"/>
              <w:rPr>
                <w:rFonts w:asciiTheme="majorBidi" w:hAnsiTheme="majorBidi" w:cstheme="majorBidi"/>
                <w:lang w:val="ro-MD"/>
              </w:rPr>
            </w:pPr>
            <w:r w:rsidRPr="009C3A85">
              <w:rPr>
                <w:rFonts w:asciiTheme="majorBidi" w:hAnsiTheme="majorBidi" w:cstheme="majorBidi"/>
                <w:lang w:val="ro-MD"/>
              </w:rPr>
              <w:t>[…]</w:t>
            </w:r>
          </w:p>
          <w:p w14:paraId="5CD02ABA" w14:textId="77777777" w:rsidR="000E5088" w:rsidRPr="009C3A85" w:rsidRDefault="00EC5183" w:rsidP="00352F8C">
            <w:pPr>
              <w:spacing w:after="120" w:line="276" w:lineRule="auto"/>
              <w:jc w:val="both"/>
              <w:rPr>
                <w:rFonts w:asciiTheme="majorBidi" w:hAnsiTheme="majorBidi" w:cstheme="majorBidi"/>
                <w:lang w:val="ro-MD"/>
              </w:rPr>
            </w:pPr>
            <w:r w:rsidRPr="009C3A85">
              <w:rPr>
                <w:rFonts w:asciiTheme="majorBidi" w:hAnsiTheme="majorBidi" w:cstheme="majorBidi"/>
                <w:lang w:val="ro-MD"/>
              </w:rPr>
              <w:t>199. [</w:t>
            </w:r>
            <w:r w:rsidR="00AC2412" w:rsidRPr="009C3A85">
              <w:rPr>
                <w:rFonts w:asciiTheme="majorBidi" w:hAnsiTheme="majorBidi" w:cstheme="majorBidi"/>
                <w:lang w:val="ro-MD"/>
              </w:rPr>
              <w:t>d</w:t>
            </w:r>
            <w:r w:rsidRPr="009C3A85">
              <w:rPr>
                <w:rFonts w:asciiTheme="majorBidi" w:hAnsiTheme="majorBidi" w:cstheme="majorBidi"/>
                <w:lang w:val="ro-MD"/>
              </w:rPr>
              <w:t xml:space="preserve">]in perspectiva Convenției, „dreptul de a fi uitat online” a fost asociat cu articolul 8, și mai exact cu dreptul la respectarea reputației, indiferent de măsurile solicitate în acest scop (eliminarea sau modificarea unui articol de presă în arhivele online sau limitarea accesului la articol prin de-indexare de către un organ de presă). În opinia Curții, o pretenție privind dreptul de a fi uitat nu echivalează cu un drept </w:t>
            </w:r>
            <w:r w:rsidRPr="009C3A85">
              <w:rPr>
                <w:rFonts w:asciiTheme="majorBidi" w:hAnsiTheme="majorBidi" w:cstheme="majorBidi"/>
                <w:lang w:val="ro-MD"/>
              </w:rPr>
              <w:lastRenderedPageBreak/>
              <w:t>autonom protejat de Convenție și, în măsura în care este acoperită de articolul 8, poate viza doar anumite situații și anumite informații. În orice caz, Curtea nu a confirmat până în prezent nicio măsură de eliminare sau modificare a unor informații publicate în mod licit în scopuri jurnalistice și arhivate pe site-ul unui organ de presă.</w:t>
            </w:r>
          </w:p>
          <w:p w14:paraId="3904017B" w14:textId="77777777" w:rsidR="00F879C4" w:rsidRPr="009C3A85" w:rsidRDefault="00F879C4" w:rsidP="00F879C4">
            <w:pPr>
              <w:spacing w:after="120" w:line="276" w:lineRule="auto"/>
              <w:jc w:val="both"/>
              <w:rPr>
                <w:rFonts w:asciiTheme="majorBidi" w:hAnsiTheme="majorBidi" w:cstheme="majorBidi"/>
                <w:lang w:val="ro-MD"/>
              </w:rPr>
            </w:pPr>
            <w:r w:rsidRPr="009C3A85">
              <w:rPr>
                <w:rFonts w:asciiTheme="majorBidi" w:hAnsiTheme="majorBidi" w:cstheme="majorBidi"/>
                <w:lang w:val="ro-MD"/>
              </w:rPr>
              <w:t>[…]</w:t>
            </w:r>
          </w:p>
          <w:p w14:paraId="3BB8DF66" w14:textId="043046E9" w:rsidR="00143F78" w:rsidRPr="009C3A85" w:rsidRDefault="00143F78" w:rsidP="00143F78">
            <w:pPr>
              <w:spacing w:after="120" w:line="276" w:lineRule="auto"/>
              <w:jc w:val="both"/>
              <w:rPr>
                <w:rFonts w:asciiTheme="majorBidi" w:hAnsiTheme="majorBidi" w:cstheme="majorBidi"/>
                <w:lang w:val="ro-MD"/>
              </w:rPr>
            </w:pPr>
            <w:r w:rsidRPr="009C3A85">
              <w:rPr>
                <w:rFonts w:asciiTheme="majorBidi" w:hAnsiTheme="majorBidi" w:cstheme="majorBidi"/>
                <w:lang w:val="ro-MD"/>
              </w:rPr>
              <w:t>255. Având în vedere cele expuse mai sus, Curtea observă că instanțele naționale au ținut seama într-un mod coerent de natura și gravitatea faptelor judiciare relatate în articolul în cauză, de faptul că articolul nu avea un interes actual, istoric sau științific și de faptul că G. nu era o persoană cunoscută. În plus, acestea au acordat importanță prejudiciului grav suferit de G. ca urmare a disponibilității continue online a articolului, cu acces nerestricționat, situație susceptibilă să creeze un „cazier judiciar virtual”, în special având în vedere perioada îndelungată scursă de la publicarea inițială a articolului. Mai mult, după ce au examinat măsurile care ar putea fi avute în vedere pentru a echilibra drepturile aflate în joc – un examen al cărui obiect a fost conform cu standardele procedurale aplicabile în Belgia –, instanțele au considerat că anonimizarea articolului nu impunea reclamantului o sarcină excesivă și nepractică, constituind totodată mijlocul cel mai eficient de protecție a vieții private a lui G.</w:t>
            </w:r>
          </w:p>
          <w:p w14:paraId="1A349684" w14:textId="3E5F28BE" w:rsidR="00F879C4" w:rsidRPr="009C3A85" w:rsidRDefault="00143F78" w:rsidP="00143F78">
            <w:pPr>
              <w:spacing w:after="120" w:line="276" w:lineRule="auto"/>
              <w:jc w:val="both"/>
              <w:rPr>
                <w:rFonts w:asciiTheme="majorBidi" w:hAnsiTheme="majorBidi" w:cstheme="majorBidi"/>
                <w:lang w:val="ro-MD"/>
              </w:rPr>
            </w:pPr>
            <w:r w:rsidRPr="009C3A85">
              <w:rPr>
                <w:rFonts w:asciiTheme="majorBidi" w:hAnsiTheme="majorBidi" w:cstheme="majorBidi"/>
                <w:lang w:val="ro-MD"/>
              </w:rPr>
              <w:t>256. În aceste circumstanțe, ținând seama de marja de apreciere a statelor, Curtea constată că instanțele naționale au echilibrat cu atenție drepturile aflate în joc, în conformitate cu cerințele Convenției, astfel încât ingerința în dreptul garantat de articolul 10 al Convenției, rezultată din anonimizarea versiunii electronice a articolului de pe site-ul ziarului Le Soir, a fost limitată la ceea ce era strict necesar și poate fi, în circumstanțele cauzei, considerată necesară într-o societate democratică și proporțională. Prin urmare, Curtea nu identifică motive puternice pentru a-și substitui propria apreciere celei a instanțelor naționale și pentru a nu lua în considerare rezultatul exercițiului de echilibrare efectuat de acestea.</w:t>
            </w:r>
          </w:p>
        </w:tc>
        <w:tc>
          <w:tcPr>
            <w:tcW w:w="1422" w:type="dxa"/>
            <w:tcBorders>
              <w:bottom w:val="single" w:sz="4" w:space="0" w:color="auto"/>
            </w:tcBorders>
          </w:tcPr>
          <w:p w14:paraId="6E7EF9BA" w14:textId="392F74A0" w:rsidR="0087236C" w:rsidRPr="009C3A85" w:rsidRDefault="008371F0"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Nicio încălcare</w:t>
            </w:r>
          </w:p>
        </w:tc>
      </w:tr>
      <w:tr w:rsidR="0087236C" w:rsidRPr="009C3A85" w14:paraId="7281DA4E" w14:textId="77777777" w:rsidTr="0038457E">
        <w:tc>
          <w:tcPr>
            <w:tcW w:w="1345" w:type="dxa"/>
            <w:tcBorders>
              <w:bottom w:val="single" w:sz="4" w:space="0" w:color="auto"/>
            </w:tcBorders>
          </w:tcPr>
          <w:p w14:paraId="0210BB0A" w14:textId="77777777" w:rsidR="0087236C" w:rsidRDefault="0087236C" w:rsidP="0087236C">
            <w:pPr>
              <w:spacing w:after="120" w:line="276" w:lineRule="auto"/>
              <w:jc w:val="center"/>
              <w:rPr>
                <w:rFonts w:asciiTheme="majorBidi" w:hAnsiTheme="majorBidi" w:cstheme="majorBidi"/>
                <w:lang w:val="ro-MD"/>
              </w:rPr>
            </w:pPr>
            <w:r w:rsidRPr="009C3A85">
              <w:rPr>
                <w:rFonts w:asciiTheme="majorBidi" w:hAnsiTheme="majorBidi" w:cstheme="majorBidi"/>
                <w:lang w:val="ro-MD"/>
              </w:rPr>
              <w:lastRenderedPageBreak/>
              <w:t>10</w:t>
            </w:r>
          </w:p>
          <w:p w14:paraId="7C670B4C" w14:textId="110F66E5" w:rsidR="00AF2598" w:rsidRPr="009C3A85" w:rsidRDefault="00AF2598" w:rsidP="0087236C">
            <w:pPr>
              <w:spacing w:after="120" w:line="276" w:lineRule="auto"/>
              <w:jc w:val="center"/>
              <w:rPr>
                <w:rFonts w:asciiTheme="majorBidi" w:hAnsiTheme="majorBidi" w:cstheme="majorBidi"/>
                <w:lang w:val="ro-MD"/>
              </w:rPr>
            </w:pPr>
            <w:r>
              <w:rPr>
                <w:rFonts w:asciiTheme="majorBidi" w:hAnsiTheme="majorBidi" w:cstheme="majorBidi"/>
                <w:lang w:val="ro-MD"/>
              </w:rPr>
              <w:t>Libertatea de exprimare</w:t>
            </w:r>
          </w:p>
        </w:tc>
        <w:tc>
          <w:tcPr>
            <w:tcW w:w="1260" w:type="dxa"/>
            <w:tcBorders>
              <w:bottom w:val="single" w:sz="4" w:space="0" w:color="auto"/>
            </w:tcBorders>
          </w:tcPr>
          <w:p w14:paraId="182964C3" w14:textId="77777777"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05.06.2025</w:t>
            </w:r>
            <w:r w:rsidRPr="009C3A85">
              <w:rPr>
                <w:rFonts w:asciiTheme="majorBidi" w:hAnsiTheme="majorBidi" w:cstheme="majorBidi"/>
                <w:lang w:val="ro-MD"/>
              </w:rPr>
              <w:br/>
            </w:r>
            <w:hyperlink r:id="rId20" w:history="1">
              <w:r w:rsidRPr="009C3A85">
                <w:rPr>
                  <w:rStyle w:val="a4"/>
                  <w:rFonts w:asciiTheme="majorBidi" w:hAnsiTheme="majorBidi" w:cstheme="majorBidi"/>
                  <w:lang w:val="ro-MD"/>
                </w:rPr>
                <w:t>Străisteanu c. Republicii Moldova</w:t>
              </w:r>
            </w:hyperlink>
          </w:p>
        </w:tc>
        <w:tc>
          <w:tcPr>
            <w:tcW w:w="2340" w:type="dxa"/>
            <w:tcBorders>
              <w:bottom w:val="single" w:sz="4" w:space="0" w:color="auto"/>
            </w:tcBorders>
          </w:tcPr>
          <w:p w14:paraId="070B53F3" w14:textId="77777777" w:rsidR="0087236C" w:rsidRPr="009C3A85" w:rsidRDefault="0087236C" w:rsidP="00EF6956">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Obligația impusă reclamantei, avocată și activistă cunoscută pentru apărarea drepturilor persoanelor LGBTQ+, de a șterge de pe pagina sa de Facebook înregistrări video în care un avocat îi adresează remarci insultătoare cu caracter homofob în ajunul marșului Pride;  Impact semnificativ al înregistrărilor video, care au ajuns la un public larg imediat după difuzare, diminuat ulterior odată cu trecerea timpului; Agresiune verbală homofobă gratuită, determinată de activitățile reclamantei și de orientarea sa </w:t>
            </w:r>
            <w:r w:rsidRPr="009C3A85">
              <w:rPr>
                <w:rFonts w:asciiTheme="majorBidi" w:hAnsiTheme="majorBidi" w:cstheme="majorBidi"/>
                <w:lang w:val="ro-MD"/>
              </w:rPr>
              <w:lastRenderedPageBreak/>
              <w:t>sexuală presupusă;  Rolul reclamantei asimilat celui de „câine de pază al interesului public”;  Lipsa unei examinări aprofundate a cauzei de către instanțele de contencios administrativ, care nu au luat în considerare în mod corespunzător importanța dreptului la libertatea de exprimare în cadrul unei dezbateri pe un subiect de interes public;  Lipsa unui echilibru just între diferitele drepturi în joc;  Lipsa unor motive pertinente și suficiente</w:t>
            </w:r>
          </w:p>
        </w:tc>
        <w:tc>
          <w:tcPr>
            <w:tcW w:w="7470" w:type="dxa"/>
            <w:tcBorders>
              <w:bottom w:val="single" w:sz="4" w:space="0" w:color="auto"/>
            </w:tcBorders>
          </w:tcPr>
          <w:p w14:paraId="7E96F2FC" w14:textId="51CB4A82" w:rsidR="0087236C" w:rsidRPr="009C3A85" w:rsidRDefault="00A41300" w:rsidP="00A41300">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54. Curtea observă, încă de la început, că părțile sunt de acord că obligația impusă reclamantei de a elimina de pe pagina sa de Facebook înregistrările video în care apărea T.P. a constituit o ingerință în dreptul acesteia la libertatea de exprimare. Curtea nu vede niciun motiv pentru a se îndepărta de această concluzie. O asemenea ingerință aduce atingere Articolului 10 din Convenție, cu excepția situației în care aceasta era „prevăzută de lege”, urmărea unul sau mai multe scopuri legitime în sensul § 2 al acestui Articol și era „necesară într-o societate democratică”.</w:t>
            </w:r>
          </w:p>
          <w:p w14:paraId="69CB4D82" w14:textId="77777777" w:rsidR="00A41300" w:rsidRPr="009C3A85" w:rsidRDefault="00A41300" w:rsidP="00A41300">
            <w:pPr>
              <w:spacing w:after="120" w:line="276" w:lineRule="auto"/>
              <w:jc w:val="both"/>
              <w:rPr>
                <w:rFonts w:asciiTheme="majorBidi" w:hAnsiTheme="majorBidi" w:cstheme="majorBidi"/>
                <w:lang w:val="ro-MD"/>
              </w:rPr>
            </w:pPr>
            <w:r w:rsidRPr="009C3A85">
              <w:rPr>
                <w:rFonts w:asciiTheme="majorBidi" w:hAnsiTheme="majorBidi" w:cstheme="majorBidi"/>
                <w:lang w:val="ro-MD"/>
              </w:rPr>
              <w:t>55.  Curtea observă că înregistrările video litigioase au fost difuzate de o bloggeriță cunoscută, pe o platformă online accesibilă publicului, fără restricții aparente, și că, așa cum au constatat judecătorii care au examinat cauza contravențională, acestea au fost preluate imediat de mass-media și au generat reacții puternice în societate. Curtea reamintește, de asemenea, că difuzarea acestor înregistrări a avut loc în timpul săptămânii Pride și că ele vizau un subiect de actualitate. Prin urmare, Curtea constată că impactul înregistrărilor video a fost semnificativ și că acestea au ajuns la un public larg. Cu toate acestea, Curtea notează că aceste înregistrări au beneficiat, cel mai probabil, de o atenție maximă imediat după publicarea lor și că elementele de care dispune nu indică faptul că vizibilitatea și impactul acestora s-ar fi menținut la același nivel odată cu trecerea timpului.</w:t>
            </w:r>
          </w:p>
          <w:p w14:paraId="29FC2F3F" w14:textId="6FFACF7F" w:rsidR="00C77751" w:rsidRPr="009C3A85" w:rsidRDefault="00C77751" w:rsidP="00C77751">
            <w:pPr>
              <w:spacing w:after="120" w:line="276" w:lineRule="auto"/>
              <w:jc w:val="both"/>
              <w:rPr>
                <w:rFonts w:asciiTheme="majorBidi" w:hAnsiTheme="majorBidi" w:cstheme="majorBidi"/>
                <w:b/>
                <w:bCs/>
                <w:lang w:val="ro-MD"/>
              </w:rPr>
            </w:pPr>
            <w:r w:rsidRPr="009C3A85">
              <w:rPr>
                <w:rFonts w:asciiTheme="majorBidi" w:hAnsiTheme="majorBidi" w:cstheme="majorBidi"/>
                <w:b/>
                <w:bCs/>
                <w:lang w:val="ro-MD"/>
              </w:rPr>
              <w:t>a) Cu privire la legalitatea ingerinței</w:t>
            </w:r>
          </w:p>
          <w:p w14:paraId="03F72145" w14:textId="772298AF" w:rsidR="00C77751" w:rsidRPr="009C3A85" w:rsidRDefault="007F3FE9" w:rsidP="007F3FE9">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57. [C]urtea notează că materialele de care dispune nu îi permit să concluzioneze că aplicarea legislației naționale de către Centru și instanțele moldovenești a fost, în vreun mod, afectată de arbitrar sau vădit nerezonabilă. De asemenea, nu există nicio îndoială că prevederile legale relevante erau accesibile reclamantei. Prin </w:t>
            </w:r>
            <w:r w:rsidRPr="009C3A85">
              <w:rPr>
                <w:rFonts w:asciiTheme="majorBidi" w:hAnsiTheme="majorBidi" w:cstheme="majorBidi"/>
                <w:lang w:val="ro-MD"/>
              </w:rPr>
              <w:lastRenderedPageBreak/>
              <w:t>urmare, Curtea concluzionează că ingerința în exercitarea drepturilor reclamantei, garantate de Articolul 10 § 1 din Convenție era „prevăzută de lege”.</w:t>
            </w:r>
          </w:p>
          <w:p w14:paraId="79EC7B56" w14:textId="7E659966" w:rsidR="00C77751" w:rsidRPr="009C3A85" w:rsidRDefault="00C77751" w:rsidP="00C77751">
            <w:pPr>
              <w:spacing w:after="120" w:line="276" w:lineRule="auto"/>
              <w:jc w:val="both"/>
              <w:rPr>
                <w:rFonts w:asciiTheme="majorBidi" w:hAnsiTheme="majorBidi" w:cstheme="majorBidi"/>
                <w:b/>
                <w:bCs/>
                <w:lang w:val="ro-MD"/>
              </w:rPr>
            </w:pPr>
            <w:r w:rsidRPr="009C3A85">
              <w:rPr>
                <w:rFonts w:asciiTheme="majorBidi" w:hAnsiTheme="majorBidi" w:cstheme="majorBidi"/>
                <w:b/>
                <w:bCs/>
                <w:lang w:val="ro-MD"/>
              </w:rPr>
              <w:t>b) Cu privire la scopul urmărit</w:t>
            </w:r>
          </w:p>
          <w:p w14:paraId="1ABAE933" w14:textId="3316C04B" w:rsidR="00C77751" w:rsidRPr="009C3A85" w:rsidRDefault="00C151F2" w:rsidP="00C151F2">
            <w:pPr>
              <w:spacing w:after="120" w:line="276" w:lineRule="auto"/>
              <w:jc w:val="both"/>
              <w:rPr>
                <w:rFonts w:asciiTheme="majorBidi" w:hAnsiTheme="majorBidi" w:cstheme="majorBidi"/>
                <w:lang w:val="ro-MD"/>
              </w:rPr>
            </w:pPr>
            <w:r w:rsidRPr="009C3A85">
              <w:rPr>
                <w:rFonts w:asciiTheme="majorBidi" w:hAnsiTheme="majorBidi" w:cstheme="majorBidi"/>
                <w:lang w:val="ro-MD"/>
              </w:rPr>
              <w:t>58. Curte constată că ingerința în cauză avea drept scop protejarea vieții private a lui T.P. și buna administrare a justiției. Prin urmare, ea poate considera că măsura în cauză urmărea scopuri legitime enumerate la Articolul 10 § 2 din Convenție, și anume protejarea reputației și a drepturilor altora și garantarea autorității și imparțialității puterii judecătorești. Curtea constată că primul dintre aceste scopuri reflectă dreptul la respectarea vieții private, garantat de Articolul 8 din Convenție.</w:t>
            </w:r>
          </w:p>
          <w:p w14:paraId="5CEE8D59" w14:textId="77777777" w:rsidR="00C77751" w:rsidRPr="009C3A85" w:rsidRDefault="00C77751" w:rsidP="00C77751">
            <w:pPr>
              <w:spacing w:after="120" w:line="276" w:lineRule="auto"/>
              <w:jc w:val="both"/>
              <w:rPr>
                <w:rFonts w:asciiTheme="majorBidi" w:hAnsiTheme="majorBidi" w:cstheme="majorBidi"/>
                <w:b/>
                <w:bCs/>
                <w:lang w:val="ro-MD"/>
              </w:rPr>
            </w:pPr>
            <w:r w:rsidRPr="009C3A85">
              <w:rPr>
                <w:rFonts w:asciiTheme="majorBidi" w:hAnsiTheme="majorBidi" w:cstheme="majorBidi"/>
                <w:b/>
                <w:bCs/>
                <w:lang w:val="ro-MD"/>
              </w:rPr>
              <w:t>c) Cu privire la necesitatea ingerinței</w:t>
            </w:r>
          </w:p>
          <w:p w14:paraId="4BD4FC6E" w14:textId="17366D9D" w:rsidR="00C83581" w:rsidRPr="009C3A85" w:rsidRDefault="00C83581" w:rsidP="00C83581">
            <w:pPr>
              <w:spacing w:after="120" w:line="276" w:lineRule="auto"/>
              <w:jc w:val="both"/>
              <w:rPr>
                <w:rFonts w:asciiTheme="majorBidi" w:hAnsiTheme="majorBidi" w:cstheme="majorBidi"/>
                <w:lang w:val="ro-MD"/>
              </w:rPr>
            </w:pPr>
            <w:r w:rsidRPr="009C3A85">
              <w:rPr>
                <w:rFonts w:asciiTheme="majorBidi" w:hAnsiTheme="majorBidi" w:cstheme="majorBidi"/>
                <w:lang w:val="ro-MD"/>
              </w:rPr>
              <w:t>74. [C]urtea reține că reclamantei i s-a ordonat să șteargă înregistrările video cu T.P. de pe pagina sa de Facebook la aproximativ un an după evenimentele litigioase și că, între timp, ea și-a putut exercita dreptul la libertatea de exprimare, iar publicul a putut fi informat cu privire la acțiunile lui T.P. Curtea observă, de asemenea, că procedura contravențională inițiată împotriva reclamantei pentru aceleași fapte a fost încetată.</w:t>
            </w:r>
          </w:p>
          <w:p w14:paraId="58A05337" w14:textId="68A438B8" w:rsidR="00C77751" w:rsidRPr="009C3A85" w:rsidRDefault="00C83581" w:rsidP="00C83581">
            <w:pPr>
              <w:spacing w:after="120" w:line="276" w:lineRule="auto"/>
              <w:jc w:val="both"/>
              <w:rPr>
                <w:rFonts w:asciiTheme="majorBidi" w:hAnsiTheme="majorBidi" w:cstheme="majorBidi"/>
                <w:lang w:val="ro-MD"/>
              </w:rPr>
            </w:pPr>
            <w:r w:rsidRPr="009C3A85">
              <w:rPr>
                <w:rFonts w:asciiTheme="majorBidi" w:hAnsiTheme="majorBidi" w:cstheme="majorBidi"/>
                <w:lang w:val="ro-MD"/>
              </w:rPr>
              <w:t>75. [a]vând în vedere în special lipsa unei examinări aprofundate a cauzei de către instanțele de contencios administrativ, care nu au ținut seama în mod corespunzător de importanța dreptului la libertatea de exprimare în cadrul unei dezbateri pe o temă de interes public, Curtea onsideră că instanțele interne nu au asigurat un echilibru just între diferitele drepturi în joc. Ea concluzionează că instanțele naționale nu au furnizat motive relevante și suficiente pentru a justifica ingerința în dreptul reclamantei la libertatea de exprimare.</w:t>
            </w:r>
          </w:p>
        </w:tc>
        <w:tc>
          <w:tcPr>
            <w:tcW w:w="1422" w:type="dxa"/>
            <w:tcBorders>
              <w:bottom w:val="single" w:sz="4" w:space="0" w:color="auto"/>
            </w:tcBorders>
          </w:tcPr>
          <w:p w14:paraId="19A538D4" w14:textId="4C4B7EEC" w:rsidR="0087236C" w:rsidRPr="009C3A85" w:rsidRDefault="00E95D13"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Constatarea încălcării - satisfacție echitabilă</w:t>
            </w:r>
          </w:p>
        </w:tc>
      </w:tr>
      <w:tr w:rsidR="0087236C" w:rsidRPr="002904F1" w14:paraId="40F1809A" w14:textId="77777777" w:rsidTr="0038457E">
        <w:tc>
          <w:tcPr>
            <w:tcW w:w="1345" w:type="dxa"/>
            <w:tcBorders>
              <w:bottom w:val="nil"/>
            </w:tcBorders>
          </w:tcPr>
          <w:p w14:paraId="7FBE0FF1" w14:textId="77777777" w:rsidR="0087236C" w:rsidRPr="009C3A85" w:rsidRDefault="0087236C" w:rsidP="00BC5186">
            <w:pPr>
              <w:spacing w:after="120" w:line="276" w:lineRule="auto"/>
              <w:jc w:val="center"/>
              <w:rPr>
                <w:rFonts w:asciiTheme="majorBidi" w:hAnsiTheme="majorBidi" w:cstheme="majorBidi"/>
                <w:lang w:val="ro-MD"/>
              </w:rPr>
            </w:pPr>
            <w:r w:rsidRPr="009C3A85">
              <w:rPr>
                <w:rFonts w:asciiTheme="majorBidi" w:hAnsiTheme="majorBidi" w:cstheme="majorBidi"/>
                <w:lang w:val="ro-MD"/>
              </w:rPr>
              <w:t>10</w:t>
            </w:r>
          </w:p>
          <w:p w14:paraId="348B26DD" w14:textId="77777777" w:rsidR="00DA1B5D" w:rsidRPr="009C3A85" w:rsidRDefault="00DA1B5D" w:rsidP="00BC5186">
            <w:pPr>
              <w:spacing w:after="120" w:line="276" w:lineRule="auto"/>
              <w:jc w:val="center"/>
              <w:rPr>
                <w:rFonts w:asciiTheme="majorBidi" w:hAnsiTheme="majorBidi" w:cstheme="majorBidi"/>
                <w:lang w:val="ro-MD"/>
              </w:rPr>
            </w:pPr>
            <w:r w:rsidRPr="009C3A85">
              <w:rPr>
                <w:rFonts w:asciiTheme="majorBidi" w:hAnsiTheme="majorBidi" w:cstheme="majorBidi"/>
                <w:lang w:val="ro-MD"/>
              </w:rPr>
              <w:t>Libertatea de exprimare</w:t>
            </w:r>
          </w:p>
          <w:p w14:paraId="0C625A6C" w14:textId="06688F9C" w:rsidR="00B373A2" w:rsidRPr="009C3A85" w:rsidRDefault="00B373A2" w:rsidP="00BC5186">
            <w:pPr>
              <w:spacing w:after="120" w:line="276" w:lineRule="auto"/>
              <w:jc w:val="center"/>
              <w:rPr>
                <w:rFonts w:asciiTheme="majorBidi" w:hAnsiTheme="majorBidi" w:cstheme="majorBidi"/>
                <w:lang w:val="ro-MD"/>
              </w:rPr>
            </w:pPr>
            <w:r w:rsidRPr="009C3A85">
              <w:rPr>
                <w:rFonts w:asciiTheme="majorBidi" w:hAnsiTheme="majorBidi" w:cstheme="majorBidi"/>
                <w:lang w:val="ro-MD"/>
              </w:rPr>
              <w:lastRenderedPageBreak/>
              <w:t>(sancțiunile impuse pentru neeliminarea conținutului de pe YouTube)</w:t>
            </w:r>
          </w:p>
        </w:tc>
        <w:tc>
          <w:tcPr>
            <w:tcW w:w="1260" w:type="dxa"/>
            <w:tcBorders>
              <w:bottom w:val="nil"/>
            </w:tcBorders>
          </w:tcPr>
          <w:p w14:paraId="3433A9B1" w14:textId="161CEC6A"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lastRenderedPageBreak/>
              <w:t>08.07.2025</w:t>
            </w:r>
            <w:r w:rsidRPr="009C3A85">
              <w:rPr>
                <w:rFonts w:asciiTheme="majorBidi" w:hAnsiTheme="majorBidi" w:cstheme="majorBidi"/>
                <w:lang w:val="ro-MD"/>
              </w:rPr>
              <w:br/>
            </w:r>
            <w:hyperlink r:id="rId21" w:history="1">
              <w:r w:rsidRPr="009C3A85">
                <w:rPr>
                  <w:rStyle w:val="a4"/>
                  <w:rFonts w:asciiTheme="majorBidi" w:hAnsiTheme="majorBidi" w:cstheme="majorBidi"/>
                  <w:lang w:val="ro-MD"/>
                </w:rPr>
                <w:t xml:space="preserve">Google LLC și alții c. </w:t>
              </w:r>
              <w:r w:rsidRPr="009C3A85">
                <w:rPr>
                  <w:rStyle w:val="a4"/>
                  <w:rFonts w:asciiTheme="majorBidi" w:hAnsiTheme="majorBidi" w:cstheme="majorBidi"/>
                  <w:lang w:val="ro-MD"/>
                </w:rPr>
                <w:lastRenderedPageBreak/>
                <w:t>Federației Ruse</w:t>
              </w:r>
            </w:hyperlink>
          </w:p>
        </w:tc>
        <w:tc>
          <w:tcPr>
            <w:tcW w:w="2340" w:type="dxa"/>
            <w:tcBorders>
              <w:bottom w:val="nil"/>
            </w:tcBorders>
          </w:tcPr>
          <w:p w14:paraId="3D01B794" w14:textId="1D51CEAB" w:rsidR="0087236C" w:rsidRPr="009C3A85" w:rsidRDefault="00AC7D98" w:rsidP="00AC7D98">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 xml:space="preserve">Impunerea unor amenzi substanțiale societății Google LLC pentru neexecutarea cererilor de eliminare a </w:t>
            </w:r>
            <w:r w:rsidRPr="009C3A85">
              <w:rPr>
                <w:rFonts w:asciiTheme="majorBidi" w:hAnsiTheme="majorBidi" w:cstheme="majorBidi"/>
                <w:lang w:val="ro-MD"/>
              </w:rPr>
              <w:lastRenderedPageBreak/>
              <w:t xml:space="preserve">conținutului generat de utilizatori găzduit pe YouTube; gravitatea sancțiunilor, combinată cu amenințarea unor pedepse suplimentare, a exercitat o presiune considerabilă de natură să determine cenzurarea conținutului; măsurile contestate s-au aplicat în mod nediferențiat unei game largi de conținuturi, inclusiv expresiei politice, criticilor la adresa Guvernului, relatărilor instituțiilor de presă independente privind invazia Rusiei în Ucraina și sprijinului pentru drepturile persoanelor LGBTQ; conținutul viza chestiuni de interes public major, în special în contextul unui conflict armat cu implicații profunde pentru securitatea europeană și globală; </w:t>
            </w:r>
            <w:r w:rsidRPr="009C3A85">
              <w:rPr>
                <w:rFonts w:asciiTheme="majorBidi" w:hAnsiTheme="majorBidi" w:cstheme="majorBidi"/>
                <w:lang w:val="ro-MD"/>
              </w:rPr>
              <w:lastRenderedPageBreak/>
              <w:t>instanțele naționale nu au evaluat veridicitatea conținutului, riscurile pe care acesta le prezenta, impactul sau gradul de răspândire al său și prejudiciul cauzat ori susceptibil de a fi cauzat; măsurile contestate au afectat însăși esența funcției Internetului ca mijloc de liber schimb de idei și informații; caracterul disproporționat al naturii și al cuantumului amenzilor era de natură să producă un „efect de descurajare”; ingerința nu era „necesară într-o societate democratică”.</w:t>
            </w:r>
          </w:p>
        </w:tc>
        <w:tc>
          <w:tcPr>
            <w:tcW w:w="7470" w:type="dxa"/>
            <w:tcBorders>
              <w:bottom w:val="nil"/>
            </w:tcBorders>
          </w:tcPr>
          <w:p w14:paraId="4FBC6568" w14:textId="37A088A4" w:rsidR="005C711F" w:rsidRPr="009C3A85" w:rsidRDefault="005C711F" w:rsidP="005C711F">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 xml:space="preserve">66. În prezenta cauză, autoritățile ruse au impus societății Google LLC amenzi substanțiale, în valoare de miliarde de ruble rusești, pentru neexecutarea cerințelor de eliminare a conținutului (TDR) referitoare la materialele generate de utilizatori și găzduite pe platforma YouTube. Curtea consideră că aplicarea unor sancțiuni atât de severe, combinată cu amenințarea unor sancțiuni suplimentare pentru </w:t>
            </w:r>
            <w:r w:rsidRPr="009C3A85">
              <w:rPr>
                <w:rFonts w:asciiTheme="majorBidi" w:hAnsiTheme="majorBidi" w:cstheme="majorBidi"/>
                <w:lang w:val="ro-MD"/>
              </w:rPr>
              <w:lastRenderedPageBreak/>
              <w:t>neconformare cu TDR-urile, a exercitat o presiune considerabilă asupra Google LLC, determinând-o să cenzureze conținutul de pe YouTube și, astfel, să interfereze cu rolul său de furnizor al unei platforme destinate schimbului liber de idei și informații.</w:t>
            </w:r>
          </w:p>
          <w:p w14:paraId="14FDBFA3" w14:textId="77777777" w:rsidR="0087236C" w:rsidRPr="009C3A85" w:rsidRDefault="005C711F" w:rsidP="005C711F">
            <w:pPr>
              <w:spacing w:after="120" w:line="276" w:lineRule="auto"/>
              <w:jc w:val="both"/>
              <w:rPr>
                <w:rFonts w:asciiTheme="majorBidi" w:hAnsiTheme="majorBidi" w:cstheme="majorBidi"/>
                <w:lang w:val="ro-MD"/>
              </w:rPr>
            </w:pPr>
            <w:r w:rsidRPr="009C3A85">
              <w:rPr>
                <w:rFonts w:asciiTheme="majorBidi" w:hAnsiTheme="majorBidi" w:cstheme="majorBidi"/>
                <w:lang w:val="ro-MD"/>
              </w:rPr>
              <w:t>67. În aceste circumstanțe, Curtea constată că a existat o ingerință în dreptul Google LLC la libertatea de exprimare, garantat de articolul 10 din Convenție.</w:t>
            </w:r>
          </w:p>
          <w:p w14:paraId="01F0548A" w14:textId="3B871497" w:rsidR="00B373A2" w:rsidRPr="009C3A85" w:rsidRDefault="005A1267" w:rsidP="005C711F">
            <w:pPr>
              <w:spacing w:after="120" w:line="276" w:lineRule="auto"/>
              <w:jc w:val="both"/>
              <w:rPr>
                <w:rFonts w:asciiTheme="majorBidi" w:hAnsiTheme="majorBidi" w:cstheme="majorBidi"/>
                <w:b/>
                <w:bCs/>
                <w:lang w:val="ro-MD"/>
              </w:rPr>
            </w:pPr>
            <w:r w:rsidRPr="009C3A85">
              <w:rPr>
                <w:rFonts w:asciiTheme="majorBidi" w:hAnsiTheme="majorBidi" w:cstheme="majorBidi"/>
                <w:b/>
                <w:bCs/>
                <w:lang w:val="ro-MD"/>
              </w:rPr>
              <w:t>(a) „Prevăzută de lege”</w:t>
            </w:r>
          </w:p>
          <w:p w14:paraId="53AA7F3D" w14:textId="0B6C7FFD" w:rsidR="008E2D63" w:rsidRPr="009C3A85" w:rsidRDefault="008E2D63" w:rsidP="00076EB6">
            <w:pPr>
              <w:spacing w:after="120" w:line="276" w:lineRule="auto"/>
              <w:jc w:val="both"/>
              <w:rPr>
                <w:rFonts w:asciiTheme="majorBidi" w:hAnsiTheme="majorBidi" w:cstheme="majorBidi"/>
                <w:lang w:val="ro-MD"/>
              </w:rPr>
            </w:pPr>
            <w:r w:rsidRPr="009C3A85">
              <w:rPr>
                <w:rFonts w:asciiTheme="majorBidi" w:hAnsiTheme="majorBidi" w:cstheme="majorBidi"/>
                <w:lang w:val="ro-MD"/>
              </w:rPr>
              <w:t>68. Curtea observă, de la bun început, că măsurile contestate aveau o bază legală în articolul 13.41 din Codul contravențional (CAO) și în articolul 15.3 din Legea privind informația, care permiteau aplicarea de amenzi proprietarilor de resurse informaționale care nu se conformau cerințelor de eliminare a conținutului (TDR), referitoare, printre altele, la „informații social importante neadevărate, difuzate sub aparența unor relatări veridice”.</w:t>
            </w:r>
          </w:p>
          <w:p w14:paraId="45D0724D" w14:textId="4EE03C0C" w:rsidR="005A1267" w:rsidRPr="009C3A85" w:rsidRDefault="008E2D63" w:rsidP="00076EB6">
            <w:pPr>
              <w:spacing w:after="120" w:line="276" w:lineRule="auto"/>
              <w:jc w:val="both"/>
              <w:rPr>
                <w:rFonts w:asciiTheme="majorBidi" w:hAnsiTheme="majorBidi" w:cstheme="majorBidi"/>
                <w:lang w:val="ro-MD"/>
              </w:rPr>
            </w:pPr>
            <w:r w:rsidRPr="009C3A85">
              <w:rPr>
                <w:rFonts w:asciiTheme="majorBidi" w:hAnsiTheme="majorBidi" w:cstheme="majorBidi"/>
                <w:lang w:val="ro-MD"/>
              </w:rPr>
              <w:t>69. Curtea notează că Google LLC a contestat calitatea legii ruse în această privință, susținând că dispozițiile articolului 15.3 din Legea privind informația lipseau de claritatea și previzibilitatea necesare. Totuși, având în vedere constatările sale de mai jos referitoare la necesitatea ingerinței într-o societate democratică, Curtea nu consideră necesar să ajungă la o concluzie definitivă asupra acestui aspect.</w:t>
            </w:r>
          </w:p>
          <w:p w14:paraId="3D9B62FD" w14:textId="5D6DB8C6" w:rsidR="005A1267" w:rsidRPr="009C3A85" w:rsidRDefault="005A1267" w:rsidP="005C711F">
            <w:pPr>
              <w:spacing w:after="120" w:line="276" w:lineRule="auto"/>
              <w:jc w:val="both"/>
              <w:rPr>
                <w:rFonts w:asciiTheme="majorBidi" w:hAnsiTheme="majorBidi" w:cstheme="majorBidi"/>
                <w:b/>
                <w:bCs/>
                <w:lang w:val="ro-MD"/>
              </w:rPr>
            </w:pPr>
            <w:r w:rsidRPr="009C3A85">
              <w:rPr>
                <w:rFonts w:asciiTheme="majorBidi" w:hAnsiTheme="majorBidi" w:cstheme="majorBidi"/>
                <w:b/>
                <w:bCs/>
                <w:lang w:val="ro-MD"/>
              </w:rPr>
              <w:t>(b) Scopul legitim</w:t>
            </w:r>
          </w:p>
          <w:p w14:paraId="55566483" w14:textId="459F67D1" w:rsidR="005A1267" w:rsidRPr="009C3A85" w:rsidRDefault="0022144E" w:rsidP="0022144E">
            <w:pPr>
              <w:spacing w:after="120" w:line="276" w:lineRule="auto"/>
              <w:jc w:val="both"/>
              <w:rPr>
                <w:rFonts w:asciiTheme="majorBidi" w:hAnsiTheme="majorBidi" w:cstheme="majorBidi"/>
                <w:lang w:val="ro-MD"/>
              </w:rPr>
            </w:pPr>
            <w:r w:rsidRPr="009C3A85">
              <w:rPr>
                <w:rFonts w:asciiTheme="majorBidi" w:hAnsiTheme="majorBidi" w:cstheme="majorBidi"/>
                <w:lang w:val="ro-MD"/>
              </w:rPr>
              <w:t>[…]</w:t>
            </w:r>
          </w:p>
          <w:p w14:paraId="1DD5DFD5" w14:textId="203FD876" w:rsidR="0022144E" w:rsidRPr="009C3A85" w:rsidRDefault="0022144E" w:rsidP="0022144E">
            <w:pPr>
              <w:spacing w:after="120" w:line="276" w:lineRule="auto"/>
              <w:jc w:val="both"/>
              <w:rPr>
                <w:rFonts w:asciiTheme="majorBidi" w:hAnsiTheme="majorBidi" w:cstheme="majorBidi"/>
                <w:lang w:val="ro-MD"/>
              </w:rPr>
            </w:pPr>
            <w:r w:rsidRPr="009C3A85">
              <w:rPr>
                <w:rFonts w:asciiTheme="majorBidi" w:hAnsiTheme="majorBidi" w:cstheme="majorBidi"/>
                <w:lang w:val="ro-MD"/>
              </w:rPr>
              <w:t>71. Curtea reiterează că, deși protejarea securității naționale, a integrității teritoriale și a siguranței publice poate constitui, în principiu, scopuri legitime, aceste concepte trebuie aplicate cu prudență și interpretate în mod restrictiv, fiind invocate doar atunci când este demonstrată necesitatea de a împiedica divulgarea unor informații.</w:t>
            </w:r>
          </w:p>
          <w:p w14:paraId="30F89E69" w14:textId="0F4D21F9" w:rsidR="0022144E" w:rsidRPr="009C3A85" w:rsidRDefault="0022144E" w:rsidP="0022144E">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72. Curtea observă că măsurile contestate au fost aplicate în mod nediferențiat unei game largi de conținuturi publicate pe YouTube, inclusiv exprimărilor politice, </w:t>
            </w:r>
            <w:r w:rsidRPr="009C3A85">
              <w:rPr>
                <w:rFonts w:asciiTheme="majorBidi" w:hAnsiTheme="majorBidi" w:cstheme="majorBidi"/>
                <w:lang w:val="ro-MD"/>
              </w:rPr>
              <w:lastRenderedPageBreak/>
              <w:t>criticilor la adresa Guvernului Federației Ruse, relatărilor realizate de instituții media independente despre invazia rusă în Ucraina și conținuturilor care susțineau drepturile persoanelor LGBTQ. Curtea consideră dificil de identificat modul în care astfel de opinii politice sau relatări independente ar putea reprezenta o amenințare reală la adresa securității naționale, integrității teritoriale sau siguranței publice. Mai mult, Curtea notează că autoritățile naționale nu au depus niciun efort pentru a demonstra în ce mod decizia specifică a Google LLC de a găzdui un asemenea conținut ar fi cauzat sau ar fi putut cauza prejudicii acestor interese. Simplul fapt că materialele respective se abăteau de la narațiunea oficială a fost considerat suficient pentru a justifica aplicarea sancțiunilor.</w:t>
            </w:r>
          </w:p>
          <w:p w14:paraId="0F5E88C2" w14:textId="0D898715" w:rsidR="0022144E" w:rsidRPr="009C3A85" w:rsidRDefault="000C185F" w:rsidP="0022144E">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73. </w:t>
            </w:r>
            <w:r w:rsidR="0022144E" w:rsidRPr="009C3A85">
              <w:rPr>
                <w:rFonts w:asciiTheme="majorBidi" w:hAnsiTheme="majorBidi" w:cstheme="majorBidi"/>
                <w:lang w:val="ro-MD"/>
              </w:rPr>
              <w:t>În aceste circumstanțe, Curtea nu este convinsă că ingerința urmărea în mod real vreun scop legitim.</w:t>
            </w:r>
            <w:r w:rsidRPr="009C3A85">
              <w:rPr>
                <w:rFonts w:asciiTheme="majorBidi" w:hAnsiTheme="majorBidi" w:cstheme="majorBidi"/>
                <w:lang w:val="ro-MD"/>
              </w:rPr>
              <w:t xml:space="preserve"> […]</w:t>
            </w:r>
          </w:p>
          <w:p w14:paraId="733FB69B" w14:textId="77777777" w:rsidR="005A1267" w:rsidRPr="009C3A85" w:rsidRDefault="005A1267" w:rsidP="005C711F">
            <w:pPr>
              <w:spacing w:after="120" w:line="276" w:lineRule="auto"/>
              <w:jc w:val="both"/>
              <w:rPr>
                <w:rFonts w:asciiTheme="majorBidi" w:hAnsiTheme="majorBidi" w:cstheme="majorBidi"/>
                <w:b/>
                <w:bCs/>
                <w:lang w:val="ro-MD"/>
              </w:rPr>
            </w:pPr>
            <w:r w:rsidRPr="009C3A85">
              <w:rPr>
                <w:rFonts w:asciiTheme="majorBidi" w:hAnsiTheme="majorBidi" w:cstheme="majorBidi"/>
                <w:b/>
                <w:bCs/>
                <w:lang w:val="ro-MD"/>
              </w:rPr>
              <w:t>(c) „Necesară într-o societate democratică”</w:t>
            </w:r>
          </w:p>
          <w:p w14:paraId="6E4D5FDA" w14:textId="54AC0C06" w:rsidR="005A1267" w:rsidRPr="009C3A85" w:rsidRDefault="003C5465" w:rsidP="005A1267">
            <w:pPr>
              <w:spacing w:after="120" w:line="276" w:lineRule="auto"/>
              <w:jc w:val="both"/>
              <w:rPr>
                <w:rFonts w:asciiTheme="majorBidi" w:hAnsiTheme="majorBidi" w:cstheme="majorBidi"/>
                <w:lang w:val="ro-MD"/>
              </w:rPr>
            </w:pPr>
            <w:r w:rsidRPr="009C3A85">
              <w:rPr>
                <w:rFonts w:asciiTheme="majorBidi" w:hAnsiTheme="majorBidi" w:cstheme="majorBidi"/>
                <w:lang w:val="ro-MD"/>
              </w:rPr>
              <w:t>[...]</w:t>
            </w:r>
          </w:p>
          <w:p w14:paraId="3E48C011" w14:textId="3D5200D2" w:rsidR="003C5465" w:rsidRPr="009C3A85" w:rsidRDefault="003C5465" w:rsidP="003C5465">
            <w:pPr>
              <w:spacing w:after="120" w:line="276" w:lineRule="auto"/>
              <w:jc w:val="both"/>
              <w:rPr>
                <w:rFonts w:asciiTheme="majorBidi" w:hAnsiTheme="majorBidi" w:cstheme="majorBidi"/>
                <w:lang w:val="ro-MD"/>
              </w:rPr>
            </w:pPr>
            <w:r w:rsidRPr="009C3A85">
              <w:rPr>
                <w:rFonts w:asciiTheme="majorBidi" w:hAnsiTheme="majorBidi" w:cstheme="majorBidi"/>
                <w:lang w:val="ro-MD"/>
              </w:rPr>
              <w:t>80. În prezenta cauză, însă, Curtea consideră că sancționarea Google LLC pentru găzduirea de conținuturi critice față de politicile guvernamentale sau care prezentau puncte de vedere alternative privind acțiunile militare, fără a demonstra existența unei necesități sociale imperioase pentru eliminarea acestora, lovește direct în esența funcției Internetului ca mijloc de schimb liber al ideilor și informațiilor.</w:t>
            </w:r>
          </w:p>
          <w:p w14:paraId="131EAD5C" w14:textId="1E30484A" w:rsidR="003C5465" w:rsidRPr="009C3A85" w:rsidRDefault="003C5465" w:rsidP="003C5465">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81. În ceea ce privește proporționalitatea sancțiunilor, Curtea observă natura și amploarea amenzilor aplicate. Amenzile, calculate fie ca sume forfetare substanțiale, fie ca procent din veniturile cumulate ale Google LLC și ale societăților „afiliate”, însumând miliarde de ruble rusești, prin natura și mărimea lor, erau susceptibile de a avea un „efect de descurajare” asupra disponibilității companiei de a găzdui conținuturi critice la adresa autorităților. Abordarea adoptată de autoritățile ruse, care au impus sancțiuni grele platformelor pentru neexecutarea cerințelor de eliminare a conținutului formulate într-un mod foarte general, a creat o povară excesivă pentru intermediari precum Google LLC, constrângându-i, în esență, să acționeze ca cenzori ai discursului politic în numele autorităților de stat </w:t>
            </w:r>
            <w:r w:rsidRPr="009C3A85">
              <w:rPr>
                <w:rFonts w:asciiTheme="majorBidi" w:hAnsiTheme="majorBidi" w:cstheme="majorBidi"/>
                <w:lang w:val="ro-MD"/>
              </w:rPr>
              <w:lastRenderedPageBreak/>
              <w:t>— o abordare incompatibilă cu jurisprudența Curții privind libertatea de exprimare. Aceasta nu poate fi considerată necesară într-o societate democratică, chiar și ținând cont de marja de apreciere acordată statelor în acest domeniu.</w:t>
            </w:r>
          </w:p>
          <w:p w14:paraId="05EC7F29" w14:textId="05CC5C98" w:rsidR="005A1267" w:rsidRPr="009C3A85" w:rsidRDefault="003C5465" w:rsidP="004F6C67">
            <w:pPr>
              <w:spacing w:after="120" w:line="276" w:lineRule="auto"/>
              <w:jc w:val="both"/>
              <w:rPr>
                <w:rFonts w:asciiTheme="majorBidi" w:hAnsiTheme="majorBidi" w:cstheme="majorBidi"/>
                <w:lang w:val="ro-MD"/>
              </w:rPr>
            </w:pPr>
            <w:r w:rsidRPr="009C3A85">
              <w:rPr>
                <w:rFonts w:asciiTheme="majorBidi" w:hAnsiTheme="majorBidi" w:cstheme="majorBidi"/>
                <w:lang w:val="ro-MD"/>
              </w:rPr>
              <w:t>82. Având în vedere considerentele de mai sus — în special natura politică a conținutului pe care autoritățile au urmărit să îl suprime, abordarea superficială a instanțelor naționale în evaluarea necesității ingerinței, lipsa examinării cauzei în lumina cerințelor Convenției și caracterul vădit disproporționat al sancțiunilor aplicate — Curtea constată că ingerința în dreptul societății reclamante la libertatea de exprimare nu a fost „necesară într-o societate democratică”, în sensul articolului 10 § 2 din Convenție.</w:t>
            </w:r>
            <w:r w:rsidR="004F6C67" w:rsidRPr="009C3A85">
              <w:rPr>
                <w:rFonts w:asciiTheme="majorBidi" w:hAnsiTheme="majorBidi" w:cstheme="majorBidi"/>
                <w:lang w:val="ro-MD"/>
              </w:rPr>
              <w:t xml:space="preserve"> [...]</w:t>
            </w:r>
          </w:p>
        </w:tc>
        <w:tc>
          <w:tcPr>
            <w:tcW w:w="1422" w:type="dxa"/>
            <w:tcBorders>
              <w:bottom w:val="nil"/>
            </w:tcBorders>
          </w:tcPr>
          <w:p w14:paraId="2410BE01" w14:textId="490AEBA4" w:rsidR="00485720" w:rsidRPr="009C3A85" w:rsidRDefault="00485720"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Constatarea încălcării tuturor articole invocate</w:t>
            </w:r>
          </w:p>
          <w:p w14:paraId="5CD70BEE" w14:textId="61701634" w:rsidR="0087236C" w:rsidRPr="009C3A85" w:rsidRDefault="00485720"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Nicio despăgubire, căci reclamanții nu au depus cerere de satisfacție echitabilă</w:t>
            </w:r>
          </w:p>
        </w:tc>
      </w:tr>
      <w:tr w:rsidR="00B373A2" w:rsidRPr="002904F1" w14:paraId="0A666082" w14:textId="77777777" w:rsidTr="0038457E">
        <w:tc>
          <w:tcPr>
            <w:tcW w:w="1345" w:type="dxa"/>
            <w:tcBorders>
              <w:top w:val="nil"/>
              <w:bottom w:val="nil"/>
            </w:tcBorders>
          </w:tcPr>
          <w:p w14:paraId="59D19015" w14:textId="2AA9056A" w:rsidR="00B373A2" w:rsidRPr="009C3A85" w:rsidRDefault="00B373A2" w:rsidP="00B373A2">
            <w:pPr>
              <w:spacing w:after="120" w:line="276" w:lineRule="auto"/>
              <w:jc w:val="center"/>
              <w:rPr>
                <w:rFonts w:asciiTheme="majorBidi" w:hAnsiTheme="majorBidi" w:cstheme="majorBidi"/>
                <w:lang w:val="ro-MD"/>
              </w:rPr>
            </w:pPr>
            <w:r w:rsidRPr="009C3A85">
              <w:rPr>
                <w:rFonts w:asciiTheme="majorBidi" w:hAnsiTheme="majorBidi" w:cstheme="majorBidi"/>
                <w:lang w:val="ro-MD"/>
              </w:rPr>
              <w:lastRenderedPageBreak/>
              <w:t>Libertatea de exprimare (</w:t>
            </w:r>
            <w:r w:rsidR="00905D9A" w:rsidRPr="009C3A85">
              <w:rPr>
                <w:rFonts w:asciiTheme="majorBidi" w:hAnsiTheme="majorBidi" w:cstheme="majorBidi"/>
                <w:lang w:val="ro-MD"/>
              </w:rPr>
              <w:t>obligația de a găzdui conținutul postului Tsargrad TV pe YouTube</w:t>
            </w:r>
            <w:r w:rsidRPr="009C3A85">
              <w:rPr>
                <w:rFonts w:asciiTheme="majorBidi" w:hAnsiTheme="majorBidi" w:cstheme="majorBidi"/>
                <w:lang w:val="ro-MD"/>
              </w:rPr>
              <w:t>)</w:t>
            </w:r>
          </w:p>
        </w:tc>
        <w:tc>
          <w:tcPr>
            <w:tcW w:w="1260" w:type="dxa"/>
            <w:tcBorders>
              <w:top w:val="nil"/>
              <w:bottom w:val="nil"/>
            </w:tcBorders>
          </w:tcPr>
          <w:p w14:paraId="57915F80" w14:textId="77777777" w:rsidR="00B373A2" w:rsidRPr="009C3A85" w:rsidRDefault="00B373A2" w:rsidP="00EF6956">
            <w:pPr>
              <w:spacing w:after="120" w:line="276" w:lineRule="auto"/>
              <w:jc w:val="center"/>
              <w:rPr>
                <w:rFonts w:asciiTheme="majorBidi" w:hAnsiTheme="majorBidi" w:cstheme="majorBidi"/>
                <w:lang w:val="ro-MD"/>
              </w:rPr>
            </w:pPr>
          </w:p>
        </w:tc>
        <w:tc>
          <w:tcPr>
            <w:tcW w:w="2340" w:type="dxa"/>
            <w:tcBorders>
              <w:top w:val="nil"/>
              <w:bottom w:val="nil"/>
            </w:tcBorders>
          </w:tcPr>
          <w:p w14:paraId="7F09A496" w14:textId="0E75AB9F" w:rsidR="00B373A2" w:rsidRPr="009C3A85" w:rsidRDefault="00B373A2" w:rsidP="00AC7D98">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Aplicarea de sancțiuni împotriva Google LLC pentru neexecutarea ordinului instanțelor naționale de a restabili contul de YouTube al postului de televiziune; suspendarea contului s-a făcut ca urmare a sancțiunilor impuse proprietarului postului pentru sprijinul material și public acordat anexării Crimeei de către Rusia; sancțiunile impuse au fost vădit disproporționate și nu aveau nicio legătură cu un prejudiciu efectiv suferit; hotărârea </w:t>
            </w:r>
            <w:r w:rsidRPr="009C3A85">
              <w:rPr>
                <w:rFonts w:asciiTheme="majorBidi" w:hAnsiTheme="majorBidi" w:cstheme="majorBidi"/>
                <w:lang w:val="ro-MD"/>
              </w:rPr>
              <w:lastRenderedPageBreak/>
              <w:t>autorităților naționale de a continua recuperarea sumelor chiar și după executarea obligației de restabilire a accesului; extinderea cerințelor ordinului judecătoresc inițial, bazată pe expertize comandate fără posibilitatea unui contradictoriu, contrară principiului securității juridice; procedurile de executare au fost desfășurate cu rea-credință</w:t>
            </w:r>
          </w:p>
        </w:tc>
        <w:tc>
          <w:tcPr>
            <w:tcW w:w="7470" w:type="dxa"/>
            <w:tcBorders>
              <w:top w:val="nil"/>
              <w:bottom w:val="nil"/>
            </w:tcBorders>
          </w:tcPr>
          <w:p w14:paraId="3D9C6F7D" w14:textId="510F6DFD" w:rsidR="000B7822" w:rsidRPr="009C3A85" w:rsidRDefault="000B7822" w:rsidP="00A30B1A">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91. În prezenta cauză, deciziile judecătorești au obligat Google LLC să găzduiască conținutul postului Tsargrad pe platforma YouTube, suprascriind astfel decizia companiei de a nu face acest lucru. Curtea consideră că această constrângere de a găzdui conținut specific, susținută de sancțiuni financiare, a afectat direct dreptul Google LLC de a decide ce conținut este dispusă să găzduiască pe platforma sa. Acest drept intră în sfera articolului 10, care protejează nu doar conținutul informațiilor, ci și mijloacele de transmitere a acestora. Faptul că acest drept a fost exercitat într-un context comercial nu îl exclude de la protecția articolului 10, întrucât Convenția se extinde și asupra discursului comercial.</w:t>
            </w:r>
          </w:p>
          <w:p w14:paraId="496B7161" w14:textId="356DDD29" w:rsidR="00B373A2" w:rsidRPr="009C3A85" w:rsidRDefault="000B7822" w:rsidP="00A30B1A">
            <w:pPr>
              <w:spacing w:after="120" w:line="276" w:lineRule="auto"/>
              <w:jc w:val="both"/>
              <w:rPr>
                <w:rFonts w:asciiTheme="majorBidi" w:hAnsiTheme="majorBidi" w:cstheme="majorBidi"/>
                <w:lang w:val="ro-MD"/>
              </w:rPr>
            </w:pPr>
            <w:r w:rsidRPr="009C3A85">
              <w:rPr>
                <w:rFonts w:asciiTheme="majorBidi" w:hAnsiTheme="majorBidi" w:cstheme="majorBidi"/>
                <w:lang w:val="ro-MD"/>
              </w:rPr>
              <w:t>92. Prin urmare, Curtea constată că ordinele instanțelor naționale, care au obligat Google LLC să găzduiască un conținut specific pe platforma sa, au constituit o ingerință în dreptul acesteia la libertatea de exprimare, garantat de articolul 10 din Convenție.</w:t>
            </w:r>
          </w:p>
          <w:p w14:paraId="0F732A37" w14:textId="77777777" w:rsidR="00AD2295" w:rsidRPr="009C3A85" w:rsidRDefault="00AD2295" w:rsidP="00A30B1A">
            <w:pPr>
              <w:spacing w:after="120" w:line="276" w:lineRule="auto"/>
              <w:jc w:val="both"/>
              <w:rPr>
                <w:rFonts w:asciiTheme="majorBidi" w:hAnsiTheme="majorBidi" w:cstheme="majorBidi"/>
                <w:b/>
                <w:bCs/>
                <w:lang w:val="ro-MD"/>
              </w:rPr>
            </w:pPr>
            <w:r w:rsidRPr="009C3A85">
              <w:rPr>
                <w:rFonts w:asciiTheme="majorBidi" w:hAnsiTheme="majorBidi" w:cstheme="majorBidi"/>
                <w:b/>
                <w:bCs/>
                <w:lang w:val="ro-MD"/>
              </w:rPr>
              <w:t>(a) „Prevăzută de lege”</w:t>
            </w:r>
          </w:p>
          <w:p w14:paraId="6AD404D0" w14:textId="10C9732A" w:rsidR="00A012A6" w:rsidRPr="009C3A85" w:rsidRDefault="00A012A6" w:rsidP="00A30B1A">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93. [...] Instanțele au impus amenda astreinte pe baza articolului 308.3 din Codul Civil, care prevede un mecanism de executare judiciară a obligațiilor contractuale prin sancțiuni financiare pentru neexecutare. Dispoziția conferă creditorilor dreptul de a solicita executarea silită prin instanțe și autorizează instanțele să impună sancțiuni pentru neexecutarea ordinelor judecătorești. Deși cuantumul oricărei </w:t>
            </w:r>
            <w:r w:rsidRPr="009C3A85">
              <w:rPr>
                <w:rFonts w:asciiTheme="majorBidi" w:hAnsiTheme="majorBidi" w:cstheme="majorBidi"/>
                <w:lang w:val="ro-MD"/>
              </w:rPr>
              <w:lastRenderedPageBreak/>
              <w:t>sancțiuni trebuie determinat în raport cu principiile de justiție, proporționalitate și nemo commodum, Curtea ia act de argumentul Google LLC potrivit căruia modul de aplicare a articolului 308.3 în prezenta cauză a încălcat aceste principii, în special prin faptul că cuantumul sancțiunii a depășit cu mult practica anterioară și orice prejudiciu care ar fi putut fi suferit.</w:t>
            </w:r>
          </w:p>
          <w:p w14:paraId="50273EFF" w14:textId="62C9810B" w:rsidR="00AD2295" w:rsidRPr="009C3A85" w:rsidRDefault="00A012A6" w:rsidP="00A30B1A">
            <w:pPr>
              <w:spacing w:after="120" w:line="276" w:lineRule="auto"/>
              <w:jc w:val="both"/>
              <w:rPr>
                <w:rFonts w:asciiTheme="majorBidi" w:hAnsiTheme="majorBidi" w:cstheme="majorBidi"/>
                <w:lang w:val="ro-MD"/>
              </w:rPr>
            </w:pPr>
            <w:r w:rsidRPr="009C3A85">
              <w:rPr>
                <w:rFonts w:asciiTheme="majorBidi" w:hAnsiTheme="majorBidi" w:cstheme="majorBidi"/>
                <w:lang w:val="ro-MD"/>
              </w:rPr>
              <w:t>94. În aceste circumstanțe, Curtea are serioase dubii cu privire la faptul că ingerința a fost „prevăzută de lege”, în sensul articolului 10 § 2. Totuși, chiar presupunând că această cerință a fost îndeplinită, Curtea consideră că ingerința nu a fost justificată din motivele expuse mai jos.</w:t>
            </w:r>
          </w:p>
          <w:p w14:paraId="0CA88D43" w14:textId="77777777" w:rsidR="00AD2295" w:rsidRPr="009C3A85" w:rsidRDefault="00AD2295" w:rsidP="00A30B1A">
            <w:pPr>
              <w:spacing w:after="120" w:line="276" w:lineRule="auto"/>
              <w:jc w:val="both"/>
              <w:rPr>
                <w:rFonts w:asciiTheme="majorBidi" w:hAnsiTheme="majorBidi" w:cstheme="majorBidi"/>
                <w:b/>
                <w:bCs/>
                <w:lang w:val="ro-MD"/>
              </w:rPr>
            </w:pPr>
            <w:r w:rsidRPr="009C3A85">
              <w:rPr>
                <w:rFonts w:asciiTheme="majorBidi" w:hAnsiTheme="majorBidi" w:cstheme="majorBidi"/>
                <w:b/>
                <w:bCs/>
                <w:lang w:val="ro-MD"/>
              </w:rPr>
              <w:t>(b) Scopul legitim</w:t>
            </w:r>
          </w:p>
          <w:p w14:paraId="394007E6" w14:textId="5BC9FBF2" w:rsidR="00AD2295" w:rsidRPr="009C3A85" w:rsidRDefault="001A4BF6" w:rsidP="00A30B1A">
            <w:pPr>
              <w:spacing w:after="120" w:line="276" w:lineRule="auto"/>
              <w:jc w:val="both"/>
              <w:rPr>
                <w:rFonts w:asciiTheme="majorBidi" w:hAnsiTheme="majorBidi" w:cstheme="majorBidi"/>
                <w:lang w:val="ro-MD"/>
              </w:rPr>
            </w:pPr>
            <w:r w:rsidRPr="009C3A85">
              <w:rPr>
                <w:rFonts w:asciiTheme="majorBidi" w:hAnsiTheme="majorBidi" w:cstheme="majorBidi"/>
                <w:lang w:val="ro-MD"/>
              </w:rPr>
              <w:t>95. În ceea ce privește scopul legitim, instanțele naționale par să fi considerat că măsurile urmăreau protejarea drepturilor altora, în special a drepturilor Tsargrad ca utilizator al platformelor, împotriva a ceea ce acestea au apreciat a fi o suspendare nelegală a conturilor sale, ca urmare a sancțiunilor externe care ar fi contrazis ordinea publică rusă. Curtea va continua, prin urmare, analiza sa pe această bază.</w:t>
            </w:r>
          </w:p>
          <w:p w14:paraId="687BE41C" w14:textId="77777777" w:rsidR="00AD2295" w:rsidRPr="009C3A85" w:rsidRDefault="00AD2295" w:rsidP="00A30B1A">
            <w:pPr>
              <w:spacing w:after="120" w:line="276" w:lineRule="auto"/>
              <w:jc w:val="both"/>
              <w:rPr>
                <w:rFonts w:asciiTheme="majorBidi" w:hAnsiTheme="majorBidi" w:cstheme="majorBidi"/>
                <w:b/>
                <w:bCs/>
                <w:lang w:val="ro-MD"/>
              </w:rPr>
            </w:pPr>
            <w:r w:rsidRPr="009C3A85">
              <w:rPr>
                <w:rFonts w:asciiTheme="majorBidi" w:hAnsiTheme="majorBidi" w:cstheme="majorBidi"/>
                <w:b/>
                <w:bCs/>
                <w:lang w:val="ro-MD"/>
              </w:rPr>
              <w:t>(c) „Necesară într-o societate democratică”</w:t>
            </w:r>
          </w:p>
          <w:p w14:paraId="7F6C54EA" w14:textId="66C9B336" w:rsidR="001A4BF6" w:rsidRPr="009C3A85" w:rsidRDefault="00DA4F54" w:rsidP="00A30B1A">
            <w:pPr>
              <w:spacing w:after="120" w:line="276" w:lineRule="auto"/>
              <w:jc w:val="both"/>
              <w:rPr>
                <w:rFonts w:asciiTheme="majorBidi" w:hAnsiTheme="majorBidi" w:cstheme="majorBidi"/>
                <w:lang w:val="ro-MD"/>
              </w:rPr>
            </w:pPr>
            <w:r w:rsidRPr="009C3A85">
              <w:rPr>
                <w:rFonts w:asciiTheme="majorBidi" w:hAnsiTheme="majorBidi" w:cstheme="majorBidi"/>
                <w:lang w:val="ro-MD"/>
              </w:rPr>
              <w:t>[...]</w:t>
            </w:r>
          </w:p>
          <w:p w14:paraId="5261F07F" w14:textId="63D88524" w:rsidR="001A4BF6" w:rsidRPr="009C3A85" w:rsidRDefault="001A4BF6" w:rsidP="00A30B1A">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97. În ceea ce privește existența unei „nevoi sociale imperioase”, Curtea observă că, deși instanțele naționale pretindeau că protejează atât drepturile contractuale ale Tsargrad, cât și dreptul publicului de a avea acces la informații, au existat anumite inconsecvențe obiective în abordarea autorităților privind presupusa protecție a dreptului la libertatea de exprimare. În acest sens, Curtea notează că contul YouTube al Tsargrad a fost suspendat din cauza sancțiunilor impuse proprietarului său pentru sprijin financiar acordat separatiștilor susținuți de Rusia în Ucraina și pentru susținerea publică a anexării Crimeei de către Rusia. Curtea observă că, în timp ce autoritățile ruse pretindeau că apără libertatea de a primi informații în cazul Tsargrad, acestea solicitau simultan companiilor reclamante să elimine conținut critic la adresa politicilor guvernamentale, inclusiv exprimări politice privind </w:t>
            </w:r>
            <w:r w:rsidRPr="009C3A85">
              <w:rPr>
                <w:rFonts w:asciiTheme="majorBidi" w:hAnsiTheme="majorBidi" w:cstheme="majorBidi"/>
                <w:lang w:val="ro-MD"/>
              </w:rPr>
              <w:lastRenderedPageBreak/>
              <w:t>invazia Rusiei în Ucraina și relatări ale instituțiilor media independente. Aceste inconsecvențe ridică îndoieli cu privire la faptul că măsurile urmăreau vreo „nevoie socială imperioasă” reală legată de protejarea dreptului la libertatea de exprimare.</w:t>
            </w:r>
          </w:p>
          <w:p w14:paraId="423647F8" w14:textId="4CA0E0FE" w:rsidR="001A4BF6" w:rsidRPr="009C3A85" w:rsidRDefault="001A4BF6" w:rsidP="00A30B1A">
            <w:pPr>
              <w:spacing w:after="120" w:line="276" w:lineRule="auto"/>
              <w:jc w:val="both"/>
              <w:rPr>
                <w:rFonts w:asciiTheme="majorBidi" w:hAnsiTheme="majorBidi" w:cstheme="majorBidi"/>
                <w:lang w:val="ro-MD"/>
              </w:rPr>
            </w:pPr>
            <w:r w:rsidRPr="009C3A85">
              <w:rPr>
                <w:rFonts w:asciiTheme="majorBidi" w:hAnsiTheme="majorBidi" w:cstheme="majorBidi"/>
                <w:lang w:val="ro-MD"/>
              </w:rPr>
              <w:t>98. În ceea ce privește proporționalitatea sancțiunilor aplicate, Curtea observă, în primul rând, că amploarea lor a fost atât fără precedent, cât și vădit disproporționată</w:t>
            </w:r>
            <w:r w:rsidR="00AD74FB" w:rsidRPr="009C3A85">
              <w:rPr>
                <w:rFonts w:asciiTheme="majorBidi" w:hAnsiTheme="majorBidi" w:cstheme="majorBidi"/>
                <w:lang w:val="ro-MD"/>
              </w:rPr>
              <w:t>. […]</w:t>
            </w:r>
          </w:p>
          <w:p w14:paraId="2FFC0EB2" w14:textId="50EC3097" w:rsidR="00AD2295" w:rsidRPr="009C3A85" w:rsidRDefault="001A4BF6" w:rsidP="00A30B1A">
            <w:pPr>
              <w:spacing w:after="120" w:line="276" w:lineRule="auto"/>
              <w:jc w:val="both"/>
              <w:rPr>
                <w:rFonts w:asciiTheme="majorBidi" w:hAnsiTheme="majorBidi" w:cstheme="majorBidi"/>
                <w:lang w:val="ro-MD"/>
              </w:rPr>
            </w:pPr>
            <w:r w:rsidRPr="009C3A85">
              <w:rPr>
                <w:rFonts w:asciiTheme="majorBidi" w:hAnsiTheme="majorBidi" w:cstheme="majorBidi"/>
                <w:lang w:val="ro-MD"/>
              </w:rPr>
              <w:t>100. Curtea reiterează că orice ingerință în libertatea de exprimare trebuie să fie proporțională cu scopul legitim urmărit și motivele invocate de autoritățile naționale trebuie să fie „relevante și suficiente”. În prezenta cauză, sancțiunile vădit disproporționate aplicate, precum și rea-credința în cadrul procedurilor de executare, demonstrează că ingerința în drepturile Google LLC garantate de articolul 10 a fost disproporționată în raport cu orice scop legitim pretins urmărit.</w:t>
            </w:r>
          </w:p>
        </w:tc>
        <w:tc>
          <w:tcPr>
            <w:tcW w:w="1422" w:type="dxa"/>
            <w:tcBorders>
              <w:top w:val="nil"/>
              <w:bottom w:val="nil"/>
            </w:tcBorders>
          </w:tcPr>
          <w:p w14:paraId="73CC9468" w14:textId="77777777" w:rsidR="00B373A2" w:rsidRPr="009C3A85" w:rsidRDefault="00B373A2" w:rsidP="00EF6956">
            <w:pPr>
              <w:spacing w:after="120" w:line="276" w:lineRule="auto"/>
              <w:rPr>
                <w:rFonts w:asciiTheme="majorBidi" w:hAnsiTheme="majorBidi" w:cstheme="majorBidi"/>
                <w:lang w:val="ro-MD"/>
              </w:rPr>
            </w:pPr>
          </w:p>
        </w:tc>
      </w:tr>
      <w:tr w:rsidR="0087236C" w:rsidRPr="002904F1" w14:paraId="49E81141" w14:textId="77777777" w:rsidTr="0038457E">
        <w:tc>
          <w:tcPr>
            <w:tcW w:w="1345" w:type="dxa"/>
            <w:tcBorders>
              <w:top w:val="nil"/>
              <w:bottom w:val="single" w:sz="4" w:space="0" w:color="auto"/>
            </w:tcBorders>
          </w:tcPr>
          <w:p w14:paraId="79CE3F0E" w14:textId="77777777" w:rsidR="0087236C" w:rsidRPr="009C3A85" w:rsidRDefault="0087236C" w:rsidP="00BC5186">
            <w:pPr>
              <w:spacing w:after="120" w:line="276" w:lineRule="auto"/>
              <w:jc w:val="center"/>
              <w:rPr>
                <w:rFonts w:asciiTheme="majorBidi" w:hAnsiTheme="majorBidi" w:cstheme="majorBidi"/>
                <w:color w:val="000000"/>
                <w:shd w:val="clear" w:color="auto" w:fill="FFFFFF"/>
                <w:lang w:val="ro-MD"/>
              </w:rPr>
            </w:pPr>
            <w:r w:rsidRPr="009C3A85">
              <w:rPr>
                <w:rFonts w:asciiTheme="majorBidi" w:hAnsiTheme="majorBidi" w:cstheme="majorBidi"/>
                <w:lang w:val="ro-MD"/>
              </w:rPr>
              <w:lastRenderedPageBreak/>
              <w:t>6</w:t>
            </w:r>
            <w:r w:rsidRPr="009C3A85">
              <w:rPr>
                <w:rFonts w:asciiTheme="majorBidi" w:hAnsiTheme="majorBidi" w:cstheme="majorBidi"/>
                <w:color w:val="000000"/>
                <w:shd w:val="clear" w:color="auto" w:fill="FFFFFF"/>
                <w:lang w:val="ro-MD"/>
              </w:rPr>
              <w:t>§1</w:t>
            </w:r>
          </w:p>
          <w:p w14:paraId="78BA73B5" w14:textId="77777777" w:rsidR="002D6A47" w:rsidRPr="009C3A85" w:rsidRDefault="002D6A47" w:rsidP="002D6A47">
            <w:pPr>
              <w:spacing w:after="120" w:line="276" w:lineRule="auto"/>
              <w:jc w:val="center"/>
              <w:rPr>
                <w:rFonts w:asciiTheme="majorBidi" w:hAnsiTheme="majorBidi" w:cstheme="majorBidi"/>
                <w:color w:val="000000"/>
                <w:shd w:val="clear" w:color="auto" w:fill="FFFFFF"/>
                <w:lang w:val="ro-MD"/>
              </w:rPr>
            </w:pPr>
            <w:r w:rsidRPr="009C3A85">
              <w:rPr>
                <w:rFonts w:asciiTheme="majorBidi" w:hAnsiTheme="majorBidi" w:cstheme="majorBidi"/>
                <w:color w:val="000000"/>
                <w:shd w:val="clear" w:color="auto" w:fill="FFFFFF"/>
                <w:lang w:val="ro-MD"/>
              </w:rPr>
              <w:t>(administrativ, execuțional și civil)</w:t>
            </w:r>
          </w:p>
          <w:p w14:paraId="4FD48747" w14:textId="44D6FEFF" w:rsidR="003E3AB3" w:rsidRPr="009C3A85" w:rsidRDefault="003E3AB3" w:rsidP="002D6A47">
            <w:pPr>
              <w:spacing w:after="120" w:line="276" w:lineRule="auto"/>
              <w:jc w:val="center"/>
              <w:rPr>
                <w:rFonts w:asciiTheme="majorBidi" w:hAnsiTheme="majorBidi" w:cstheme="majorBidi"/>
                <w:color w:val="000000"/>
                <w:shd w:val="clear" w:color="auto" w:fill="FFFFFF"/>
                <w:lang w:val="ro-MD"/>
              </w:rPr>
            </w:pPr>
            <w:r w:rsidRPr="009C3A85">
              <w:rPr>
                <w:rFonts w:asciiTheme="majorBidi" w:hAnsiTheme="majorBidi" w:cstheme="majorBidi"/>
                <w:color w:val="000000"/>
                <w:shd w:val="clear" w:color="auto" w:fill="FFFFFF"/>
                <w:lang w:val="ro-MD"/>
              </w:rPr>
              <w:t xml:space="preserve">Motivarea </w:t>
            </w:r>
            <w:r w:rsidR="00254744" w:rsidRPr="009C3A85">
              <w:rPr>
                <w:rFonts w:asciiTheme="majorBidi" w:hAnsiTheme="majorBidi" w:cstheme="majorBidi"/>
                <w:color w:val="000000"/>
                <w:shd w:val="clear" w:color="auto" w:fill="FFFFFF"/>
                <w:lang w:val="ro-MD"/>
              </w:rPr>
              <w:t xml:space="preserve">deficitară a </w:t>
            </w:r>
            <w:r w:rsidRPr="009C3A85">
              <w:rPr>
                <w:rFonts w:asciiTheme="majorBidi" w:hAnsiTheme="majorBidi" w:cstheme="majorBidi"/>
                <w:color w:val="000000"/>
                <w:shd w:val="clear" w:color="auto" w:fill="FFFFFF"/>
                <w:lang w:val="ro-MD"/>
              </w:rPr>
              <w:t>hotărârilor judecătorești</w:t>
            </w:r>
          </w:p>
        </w:tc>
        <w:tc>
          <w:tcPr>
            <w:tcW w:w="1260" w:type="dxa"/>
            <w:tcBorders>
              <w:top w:val="nil"/>
              <w:bottom w:val="single" w:sz="4" w:space="0" w:color="auto"/>
            </w:tcBorders>
          </w:tcPr>
          <w:p w14:paraId="27568A82" w14:textId="77777777" w:rsidR="0087236C" w:rsidRPr="009C3A85" w:rsidRDefault="0087236C" w:rsidP="00EF6956">
            <w:pPr>
              <w:spacing w:after="120" w:line="276" w:lineRule="auto"/>
              <w:jc w:val="center"/>
              <w:rPr>
                <w:rFonts w:asciiTheme="majorBidi" w:hAnsiTheme="majorBidi" w:cstheme="majorBidi"/>
                <w:lang w:val="ro-MD"/>
              </w:rPr>
            </w:pPr>
          </w:p>
        </w:tc>
        <w:tc>
          <w:tcPr>
            <w:tcW w:w="2340" w:type="dxa"/>
            <w:tcBorders>
              <w:top w:val="nil"/>
              <w:bottom w:val="single" w:sz="4" w:space="0" w:color="auto"/>
            </w:tcBorders>
          </w:tcPr>
          <w:p w14:paraId="3E0C5D4A" w14:textId="76019E9D" w:rsidR="0087236C" w:rsidRPr="009C3A85" w:rsidRDefault="00AC7D98" w:rsidP="009E2674">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Impunerea unor amenzi societății reclamante pentru neeliminarea conținutului de pe YouTube, calculate pe baza veniturilor mai multor entități, fără a se oferi o justificare adecvată privind compatibilitatea acestei abordări cu dreptul intern; neexaminarea obiecției societății reclamante referitoare la metoda de agregare; inițierea procedurilor de executare împotriva </w:t>
            </w:r>
            <w:r w:rsidRPr="009C3A85">
              <w:rPr>
                <w:rFonts w:asciiTheme="majorBidi" w:hAnsiTheme="majorBidi" w:cstheme="majorBidi"/>
                <w:lang w:val="ro-MD"/>
              </w:rPr>
              <w:lastRenderedPageBreak/>
              <w:t>unei alte societăți reclamante, fără a se analiza argumentul potrivit căruia, fiind o entitate juridică distinctă, nu putea fi trasă la răspundere; lipsa unei motivări adecvate pentru afirmarea competenței asupra litigiului privind suspendarea contului de YouTube al unui post de televiziune rus; însăși esența dreptului societăților reclamante la o hotărâre motivată a fost subminată</w:t>
            </w:r>
          </w:p>
        </w:tc>
        <w:tc>
          <w:tcPr>
            <w:tcW w:w="7470" w:type="dxa"/>
            <w:tcBorders>
              <w:top w:val="nil"/>
              <w:bottom w:val="single" w:sz="4" w:space="0" w:color="auto"/>
            </w:tcBorders>
          </w:tcPr>
          <w:p w14:paraId="22FD90AD" w14:textId="77777777" w:rsidR="00505F2C" w:rsidRPr="009C3A85" w:rsidRDefault="00505F2C" w:rsidP="00505F2C">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w:t>
            </w:r>
          </w:p>
          <w:p w14:paraId="5488E5BB" w14:textId="67ED5E80" w:rsidR="00505F2C" w:rsidRPr="009C3A85" w:rsidRDefault="00505F2C" w:rsidP="00284F96">
            <w:pPr>
              <w:spacing w:after="120" w:line="276" w:lineRule="auto"/>
              <w:jc w:val="both"/>
              <w:rPr>
                <w:rFonts w:asciiTheme="majorBidi" w:hAnsiTheme="majorBidi" w:cstheme="majorBidi"/>
                <w:lang w:val="ro-MD"/>
              </w:rPr>
            </w:pPr>
            <w:r w:rsidRPr="009C3A85">
              <w:rPr>
                <w:rFonts w:asciiTheme="majorBidi" w:hAnsiTheme="majorBidi" w:cstheme="majorBidi"/>
                <w:lang w:val="ro-MD"/>
              </w:rPr>
              <w:t>105. În ceea ce privește procedurile administrative pentru neeliminarea conținutului de pe YouTube, instanțele ruse au impus amenzi Google LLC pe baza veniturilor cumulate ale mai multor entități, inclusiv Google Ireland și Google Commerce Limited, fără a oferi o justificare adecvată privind compatibilitatea acestei abordări cu principiul general al legislației privind contravențiile administrative, potrivit căruia sancțiunea trebuie aplicată persoanei vinovate, sau fără a demonstra cum se întemeiază aceasta în dreptul intern. În această privință, instanțele nu au răspuns obiecției Google LLC referitoare la abordarea prin agregar</w:t>
            </w:r>
            <w:r w:rsidR="00284F96" w:rsidRPr="009C3A85">
              <w:rPr>
                <w:rFonts w:asciiTheme="majorBidi" w:hAnsiTheme="majorBidi" w:cstheme="majorBidi"/>
                <w:lang w:val="ro-MD"/>
              </w:rPr>
              <w:t>e</w:t>
            </w:r>
            <w:r w:rsidRPr="009C3A85">
              <w:rPr>
                <w:rFonts w:asciiTheme="majorBidi" w:hAnsiTheme="majorBidi" w:cstheme="majorBidi"/>
                <w:lang w:val="ro-MD"/>
              </w:rPr>
              <w:t>. În mod similar, în contextul procedurilor de executare împotriva Google Russia pentru recuperarea amenzilor administrative, raționamentul instanțelor naționale s-a bazat în principal pe presupunerea că Google Russia funcționa ca „birou reprezentativ de facto” al Google LLC, fără nicio analiză detaliată a dispozițiilor legale aplicabile sau a relației factuale dintre cele două entități juridice ori a structurii lor corporative. Instanțele nu au abordat argumentul central al Google Russia, potrivit căruia, în calitate de entitate juridică separată, nu putea fi ținută responsabilă pentru amenzile impuse Google LLC.</w:t>
            </w:r>
          </w:p>
          <w:p w14:paraId="7B63C555" w14:textId="47FC2607" w:rsidR="0087236C" w:rsidRPr="009C3A85" w:rsidRDefault="00505F2C" w:rsidP="00284F96">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106. Trecând la procedurile civile pentru executarea dreptului de acces la conturile Tsargrad, Curtea constată că instanțele naționale nu au oferit raționamente adecvate pentru a-și afirma jurisdicția asupra litigiului, în pofida existenței unor clauze de jurisdicție expres prevăzute în contractele relevante. Afirmația generică a instanțelor că sancțiunile au creat obstacole în accesul la justiție în jurisdicțiile desemnate prin contract nu a fost fundamentată prin motive concrete sau probe. Mai mult, instanțele nu au răspuns obiecției companiilor reclamante conform căreia această prezumție era contrazisă de materialul din dosar, care indica faptul că proprietarul Tsargrad a fost anterior implicat în litigii în Statele Unite fără ca statutul său sancționat să împiedice accesul la justiție. În plus, instanțele nu au luat în considerare un element factual important, și anume că accesul la conturile Tsargrad a fost restabilit în urma deciziei instanței de apel. Acestea erau aspecte decisive care necesitau răspunsuri judiciare specifice și explicite, care nu au fost furnizate, subminând astfel însăși esența dreptului reclamanților la o hotărâre motivată.</w:t>
            </w:r>
          </w:p>
        </w:tc>
        <w:tc>
          <w:tcPr>
            <w:tcW w:w="1422" w:type="dxa"/>
            <w:tcBorders>
              <w:top w:val="nil"/>
              <w:bottom w:val="single" w:sz="4" w:space="0" w:color="auto"/>
            </w:tcBorders>
          </w:tcPr>
          <w:p w14:paraId="3D964BD5" w14:textId="77777777" w:rsidR="0087236C" w:rsidRPr="009C3A85" w:rsidRDefault="0087236C" w:rsidP="00EF6956">
            <w:pPr>
              <w:spacing w:after="120" w:line="276" w:lineRule="auto"/>
              <w:rPr>
                <w:rFonts w:asciiTheme="majorBidi" w:hAnsiTheme="majorBidi" w:cstheme="majorBidi"/>
                <w:lang w:val="ro-MD"/>
              </w:rPr>
            </w:pPr>
          </w:p>
        </w:tc>
      </w:tr>
      <w:tr w:rsidR="005836EF" w:rsidRPr="002904F1" w14:paraId="12EF42A3" w14:textId="77777777" w:rsidTr="00DC3BE4">
        <w:tc>
          <w:tcPr>
            <w:tcW w:w="13837" w:type="dxa"/>
            <w:gridSpan w:val="5"/>
            <w:tcBorders>
              <w:top w:val="nil"/>
              <w:bottom w:val="single" w:sz="4" w:space="0" w:color="auto"/>
            </w:tcBorders>
            <w:shd w:val="clear" w:color="auto" w:fill="F5F5F5"/>
          </w:tcPr>
          <w:p w14:paraId="660CC505" w14:textId="60B8AFC6" w:rsidR="005836EF" w:rsidRPr="009C3A85" w:rsidRDefault="009B70B0" w:rsidP="00EF6956">
            <w:pPr>
              <w:pStyle w:val="1"/>
              <w:spacing w:line="276" w:lineRule="auto"/>
              <w:outlineLvl w:val="0"/>
            </w:pPr>
            <w:bookmarkStart w:id="8" w:name="_Toc213590712"/>
            <w:r w:rsidRPr="009C3A85">
              <w:t>Articolul</w:t>
            </w:r>
            <w:r w:rsidR="00F47F08" w:rsidRPr="009C3A85">
              <w:t xml:space="preserve"> 11. </w:t>
            </w:r>
            <w:r w:rsidR="00111C4C" w:rsidRPr="009C3A85">
              <w:t>Libertatea de întrunire şi de asociere</w:t>
            </w:r>
            <w:bookmarkEnd w:id="8"/>
          </w:p>
        </w:tc>
      </w:tr>
      <w:tr w:rsidR="0087236C" w:rsidRPr="009C3A85" w14:paraId="53E5673A" w14:textId="77777777" w:rsidTr="0038457E">
        <w:tc>
          <w:tcPr>
            <w:tcW w:w="1345" w:type="dxa"/>
            <w:tcBorders>
              <w:top w:val="nil"/>
              <w:bottom w:val="nil"/>
            </w:tcBorders>
          </w:tcPr>
          <w:p w14:paraId="3C453685" w14:textId="4649554C"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11</w:t>
            </w:r>
          </w:p>
          <w:p w14:paraId="0ED25298" w14:textId="62DFBC3C"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Libertatea de asociere</w:t>
            </w:r>
          </w:p>
        </w:tc>
        <w:tc>
          <w:tcPr>
            <w:tcW w:w="1260" w:type="dxa"/>
            <w:tcBorders>
              <w:top w:val="nil"/>
              <w:bottom w:val="nil"/>
            </w:tcBorders>
          </w:tcPr>
          <w:p w14:paraId="35B73D6D" w14:textId="21706E87"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24.06.2025</w:t>
            </w:r>
            <w:r w:rsidRPr="009C3A85">
              <w:rPr>
                <w:rFonts w:asciiTheme="majorBidi" w:hAnsiTheme="majorBidi" w:cstheme="majorBidi"/>
                <w:lang w:val="ro-MD"/>
              </w:rPr>
              <w:br/>
            </w:r>
            <w:hyperlink r:id="rId22" w:history="1">
              <w:r w:rsidRPr="009C3A85">
                <w:rPr>
                  <w:rStyle w:val="a4"/>
                  <w:rFonts w:asciiTheme="majorBidi" w:hAnsiTheme="majorBidi" w:cstheme="majorBidi"/>
                  <w:lang w:val="ro-MD"/>
                </w:rPr>
                <w:t>Sagir și alții c. Greciei</w:t>
              </w:r>
            </w:hyperlink>
          </w:p>
        </w:tc>
        <w:tc>
          <w:tcPr>
            <w:tcW w:w="2340" w:type="dxa"/>
            <w:tcBorders>
              <w:top w:val="nil"/>
              <w:bottom w:val="nil"/>
            </w:tcBorders>
          </w:tcPr>
          <w:p w14:paraId="51BC5EE1" w14:textId="1159BB56" w:rsidR="0087236C" w:rsidRPr="009C3A85" w:rsidRDefault="0087236C" w:rsidP="00EF6956">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Refuzul instanțelor naționale de a înregistra „Asociația culturală a femeilor turce din prefectura Xanthi”; motivarea bazată pe necesitatea de a face distincția între minoritatea musulmană, recunoscută prin Tratatul de la Lausanne </w:t>
            </w:r>
            <w:r w:rsidRPr="009C3A85">
              <w:rPr>
                <w:rFonts w:asciiTheme="majorBidi" w:hAnsiTheme="majorBidi" w:cstheme="majorBidi"/>
                <w:lang w:val="ro-MD"/>
              </w:rPr>
              <w:lastRenderedPageBreak/>
              <w:t>din 1923, și minoritatea turcă, nerecunoscută de instanțele judecătorești; concluziile nu se bazează pe nicio amenințare la adresa ordinii publice; denumirea propusă nu putea justifica în sine refuzul înregistrării; motivele nu sunt relevante și suficiente; restricțiile nu urmăresc o „nevoie socială imperioasă”</w:t>
            </w:r>
          </w:p>
        </w:tc>
        <w:tc>
          <w:tcPr>
            <w:tcW w:w="7470" w:type="dxa"/>
            <w:tcBorders>
              <w:top w:val="nil"/>
              <w:bottom w:val="nil"/>
            </w:tcBorders>
          </w:tcPr>
          <w:p w14:paraId="6B13130B" w14:textId="77777777" w:rsidR="00175861" w:rsidRPr="009C3A85" w:rsidRDefault="006B27A6" w:rsidP="0045673B">
            <w:pPr>
              <w:pStyle w:val="aa"/>
              <w:spacing w:before="0" w:beforeAutospacing="0" w:after="120" w:afterAutospacing="0"/>
              <w:jc w:val="both"/>
              <w:rPr>
                <w:sz w:val="22"/>
                <w:szCs w:val="22"/>
                <w:lang w:val="ro-MD"/>
              </w:rPr>
            </w:pPr>
            <w:r w:rsidRPr="009C3A85">
              <w:rPr>
                <w:rFonts w:asciiTheme="majorBidi" w:hAnsiTheme="majorBidi" w:cstheme="majorBidi"/>
                <w:sz w:val="22"/>
                <w:szCs w:val="22"/>
                <w:lang w:val="ro-MD"/>
              </w:rPr>
              <w:lastRenderedPageBreak/>
              <w:t xml:space="preserve">40. </w:t>
            </w:r>
            <w:r w:rsidR="008C5D42" w:rsidRPr="009C3A85">
              <w:rPr>
                <w:sz w:val="22"/>
                <w:szCs w:val="22"/>
                <w:lang w:val="ro-MD"/>
              </w:rPr>
              <w:t xml:space="preserve">Părțile nu contest </w:t>
            </w:r>
            <w:r w:rsidRPr="009C3A85">
              <w:rPr>
                <w:sz w:val="22"/>
                <w:szCs w:val="22"/>
                <w:lang w:val="ro-MD"/>
              </w:rPr>
              <w:t xml:space="preserve">faptul că refuzul de a înregistra asociația reclamanților a constituit o ingerință în dreptul acestora la libertatea de asociere, în sensul articolului 11 § 1 din Convenție. În </w:t>
            </w:r>
            <w:r w:rsidR="00FD5803" w:rsidRPr="009C3A85">
              <w:rPr>
                <w:sz w:val="22"/>
                <w:szCs w:val="22"/>
                <w:lang w:val="ro-MD"/>
              </w:rPr>
              <w:t>continuare</w:t>
            </w:r>
            <w:r w:rsidRPr="009C3A85">
              <w:rPr>
                <w:sz w:val="22"/>
                <w:szCs w:val="22"/>
                <w:lang w:val="ro-MD"/>
              </w:rPr>
              <w:t>, Curtea va examina dacă ingerința a fost prevăzută de lege, a urmărit un scop legitim și a fost necesară într-o societate democratică.</w:t>
            </w:r>
          </w:p>
          <w:p w14:paraId="60AC9E7D" w14:textId="60CE72B2" w:rsidR="006B27A6" w:rsidRPr="009C3A85" w:rsidRDefault="006B27A6" w:rsidP="0045673B">
            <w:pPr>
              <w:pStyle w:val="aa"/>
              <w:spacing w:before="0" w:beforeAutospacing="0" w:after="120" w:afterAutospacing="0"/>
              <w:jc w:val="both"/>
              <w:rPr>
                <w:i/>
                <w:iCs/>
                <w:sz w:val="22"/>
                <w:szCs w:val="22"/>
                <w:lang w:val="ro-MD"/>
              </w:rPr>
            </w:pPr>
            <w:r w:rsidRPr="009C3A85">
              <w:rPr>
                <w:i/>
                <w:iCs/>
                <w:sz w:val="22"/>
                <w:szCs w:val="22"/>
                <w:lang w:val="ro-MD"/>
              </w:rPr>
              <w:t>(i) Dacă ingerința a fost prevăzută de lege</w:t>
            </w:r>
          </w:p>
          <w:p w14:paraId="1DB92BAB" w14:textId="5646F239" w:rsidR="0045673B" w:rsidRPr="009C3A85" w:rsidRDefault="0045673B" w:rsidP="0045673B">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41. Curtea observă că instanțele naționale au respins cererea reclamanților de înregistrare în temeiul articolelor 79–81 din Codul civil, care permit instanțelor interne să respingă o cerere de înregistrare atunci când consideră că valabilitatea statutului asociației este discutabilă. Ținând cont de aceste circumstanțe și subliniind că, în primul rând, revine instanțelor naționale sarcina de a interpreta și </w:t>
            </w:r>
            <w:r w:rsidRPr="009C3A85">
              <w:rPr>
                <w:rFonts w:asciiTheme="majorBidi" w:hAnsiTheme="majorBidi" w:cstheme="majorBidi"/>
                <w:lang w:val="ro-MD"/>
              </w:rPr>
              <w:lastRenderedPageBreak/>
              <w:t>aplica dreptul intern, Curtea este convinsă că ingerințele în cauză au fost „prevăzute de lege”.</w:t>
            </w:r>
          </w:p>
          <w:p w14:paraId="4C12E042" w14:textId="0A48F45A" w:rsidR="0045673B" w:rsidRPr="009C3A85" w:rsidRDefault="0045673B" w:rsidP="0045673B">
            <w:pPr>
              <w:spacing w:after="120" w:line="276" w:lineRule="auto"/>
              <w:jc w:val="both"/>
              <w:rPr>
                <w:rFonts w:asciiTheme="majorBidi" w:hAnsiTheme="majorBidi" w:cstheme="majorBidi"/>
                <w:i/>
                <w:iCs/>
                <w:lang w:val="ro-MD"/>
              </w:rPr>
            </w:pPr>
            <w:r w:rsidRPr="009C3A85">
              <w:rPr>
                <w:rFonts w:asciiTheme="majorBidi" w:hAnsiTheme="majorBidi" w:cstheme="majorBidi"/>
                <w:i/>
                <w:iCs/>
                <w:lang w:val="ro-MD"/>
              </w:rPr>
              <w:t>(ii) Dacă ingerința a urmărit un scop legitim</w:t>
            </w:r>
          </w:p>
          <w:p w14:paraId="2C27BBC2" w14:textId="77777777" w:rsidR="0087236C" w:rsidRPr="009C3A85" w:rsidRDefault="0045673B" w:rsidP="0045673B">
            <w:pPr>
              <w:spacing w:after="120" w:line="276" w:lineRule="auto"/>
              <w:jc w:val="both"/>
              <w:rPr>
                <w:rFonts w:asciiTheme="majorBidi" w:hAnsiTheme="majorBidi" w:cstheme="majorBidi"/>
                <w:lang w:val="ro-MD"/>
              </w:rPr>
            </w:pPr>
            <w:r w:rsidRPr="009C3A85">
              <w:rPr>
                <w:rFonts w:asciiTheme="majorBidi" w:hAnsiTheme="majorBidi" w:cstheme="majorBidi"/>
                <w:lang w:val="ro-MD"/>
              </w:rPr>
              <w:t>42. În ceea ce privește scopul urmărit, Curtea observă că Guvernul a susținut că prevenirea confuziei în privința adevăratei identități a membrilor unei asociații servea interesului protejării ordinii, certitudinii juridice și stabilității în materie de drept. Aceste interese se încadrează în sfera articolului 11 din Convenție, care permite restrângerea libertății de asociere în interesul „prevenirii dezordinii” și „protejării drepturilor și libertăților altora”. În consecință, Curtea acceptă că ingerința în cauză a urmărit un scop legitim în sensul articolului 11 § 2 din Convenție.</w:t>
            </w:r>
          </w:p>
          <w:p w14:paraId="1C8299F2" w14:textId="300F81DE" w:rsidR="003533DA" w:rsidRPr="009C3A85" w:rsidRDefault="003533DA" w:rsidP="0045673B">
            <w:pPr>
              <w:spacing w:after="120" w:line="276" w:lineRule="auto"/>
              <w:jc w:val="both"/>
              <w:rPr>
                <w:rFonts w:asciiTheme="majorBidi" w:hAnsiTheme="majorBidi" w:cstheme="majorBidi"/>
                <w:i/>
                <w:iCs/>
                <w:lang w:val="ro-MD"/>
              </w:rPr>
            </w:pPr>
            <w:r w:rsidRPr="009C3A85">
              <w:rPr>
                <w:rFonts w:asciiTheme="majorBidi" w:hAnsiTheme="majorBidi" w:cstheme="majorBidi"/>
                <w:i/>
                <w:iCs/>
                <w:lang w:val="ro-MD"/>
              </w:rPr>
              <w:t>(iii) Dacă ingerința a fost necesară într-o societate democratică</w:t>
            </w:r>
          </w:p>
          <w:p w14:paraId="71650465" w14:textId="11AE1A42" w:rsidR="008B7B1D" w:rsidRPr="009C3A85" w:rsidRDefault="008B7B1D" w:rsidP="008B7B1D">
            <w:pPr>
              <w:spacing w:after="120" w:line="276" w:lineRule="auto"/>
              <w:rPr>
                <w:rFonts w:asciiTheme="majorBidi" w:hAnsiTheme="majorBidi" w:cstheme="majorBidi"/>
                <w:lang w:val="ro-MD"/>
              </w:rPr>
            </w:pPr>
            <w:r w:rsidRPr="009C3A85">
              <w:rPr>
                <w:rFonts w:asciiTheme="majorBidi" w:hAnsiTheme="majorBidi" w:cstheme="majorBidi"/>
                <w:lang w:val="ro-MD"/>
              </w:rPr>
              <w:t>[...]</w:t>
            </w:r>
          </w:p>
          <w:p w14:paraId="3AB94886" w14:textId="6DA86CDB" w:rsidR="00BD654D" w:rsidRPr="009C3A85" w:rsidRDefault="00BD654D" w:rsidP="00E16F71">
            <w:pPr>
              <w:spacing w:after="120" w:line="276" w:lineRule="auto"/>
              <w:jc w:val="both"/>
              <w:rPr>
                <w:rFonts w:asciiTheme="majorBidi" w:hAnsiTheme="majorBidi" w:cstheme="majorBidi"/>
                <w:lang w:val="ro-MD"/>
              </w:rPr>
            </w:pPr>
            <w:r w:rsidRPr="009C3A85">
              <w:rPr>
                <w:rFonts w:asciiTheme="majorBidi" w:hAnsiTheme="majorBidi" w:cstheme="majorBidi"/>
                <w:lang w:val="ro-MD"/>
              </w:rPr>
              <w:t>47. Curtea observă că, în prezenta cauză, instanțele naționale au constatat că denumirea propusă a asociației reclamanților nu respecta „principiul verității” și era înșelătoare; totuși, aceste instanțe nu și-au întemeiat concluziile pe argumentul că denumirea în cauză ar putea amenința ordinea publică sau ordinea juridică internă. Cu toate acestea, indiferent dacă motivul invocat viza doar riscul de confuzie, ca în prezenta cauză, sau protejarea ordinii publice ori a ordinii juridice, raționamentul instanțelor naționale se învârtea tot în jurul necesității de a face distincție între o minoritate musulmană, recunoscută prin Tratatul de la Lausanne din 1923, și o minoritate turcă, a cărei existență nu a fost recunoscută de instanțe.</w:t>
            </w:r>
          </w:p>
          <w:p w14:paraId="746EFC1E" w14:textId="553736BC" w:rsidR="00BD654D" w:rsidRPr="009C3A85" w:rsidRDefault="00BD654D" w:rsidP="00E16F71">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48. </w:t>
            </w:r>
            <w:r w:rsidR="00BA559E" w:rsidRPr="009C3A85">
              <w:rPr>
                <w:rFonts w:asciiTheme="majorBidi" w:hAnsiTheme="majorBidi" w:cstheme="majorBidi"/>
                <w:lang w:val="ro-MD"/>
              </w:rPr>
              <w:t>[c]</w:t>
            </w:r>
            <w:r w:rsidRPr="009C3A85">
              <w:rPr>
                <w:rFonts w:asciiTheme="majorBidi" w:hAnsiTheme="majorBidi" w:cstheme="majorBidi"/>
                <w:lang w:val="ro-MD"/>
              </w:rPr>
              <w:t xml:space="preserve">hiar presupunând că adevăratul scop al asociației era promovarea ideii existenței unei minorități etnice în Grecia, acest fapt, în sine, nu putea fi considerat o amenințare la adresa unei societăți democratice. De asemenea, Curtea a stabilit că noțiunea de „societate democratică” își pierde orice sens în absența pluralismului, toleranței și a deschiderii de spirit. </w:t>
            </w:r>
            <w:r w:rsidR="008B7B1D" w:rsidRPr="009C3A85">
              <w:rPr>
                <w:rFonts w:asciiTheme="majorBidi" w:hAnsiTheme="majorBidi" w:cstheme="majorBidi"/>
                <w:lang w:val="ro-MD"/>
              </w:rPr>
              <w:t xml:space="preserve">[...] </w:t>
            </w:r>
            <w:r w:rsidRPr="009C3A85">
              <w:rPr>
                <w:rFonts w:asciiTheme="majorBidi" w:hAnsiTheme="majorBidi" w:cstheme="majorBidi"/>
                <w:lang w:val="ro-MD"/>
              </w:rPr>
              <w:t xml:space="preserve">Curtea observă că, potrivit articolului 2 din statutul asociației, acestea erau tocmai obiectivele pe care asociația </w:t>
            </w:r>
            <w:r w:rsidRPr="009C3A85">
              <w:rPr>
                <w:rFonts w:asciiTheme="majorBidi" w:hAnsiTheme="majorBidi" w:cstheme="majorBidi"/>
                <w:lang w:val="ro-MD"/>
              </w:rPr>
              <w:lastRenderedPageBreak/>
              <w:t>reclamanților urmărea să le atingă. În special, scopul „dezvoltării și răspândirii patrimoniului cultural popular prin revitalizarea tradițiilor locale în cooperare cu instituțiile locale” este în mod clar prevăzut.</w:t>
            </w:r>
          </w:p>
          <w:p w14:paraId="48804F07" w14:textId="2EDF1A9E" w:rsidR="00BD654D" w:rsidRPr="009C3A85" w:rsidRDefault="00BD654D" w:rsidP="00E16F71">
            <w:pPr>
              <w:spacing w:after="120" w:line="276" w:lineRule="auto"/>
              <w:jc w:val="both"/>
              <w:rPr>
                <w:rFonts w:asciiTheme="majorBidi" w:hAnsiTheme="majorBidi" w:cstheme="majorBidi"/>
                <w:lang w:val="ro-MD"/>
              </w:rPr>
            </w:pPr>
            <w:r w:rsidRPr="009C3A85">
              <w:rPr>
                <w:rFonts w:asciiTheme="majorBidi" w:hAnsiTheme="majorBidi" w:cstheme="majorBidi"/>
                <w:lang w:val="ro-MD"/>
              </w:rPr>
              <w:t>50. În final, Curtea observă că autoritățile naționale nu au afirmat și nici nu au demonstrat că denumirea propusă a asociației reclamanților – sau formularea vreunei dispoziții din statutul acesteia – ar putea constitui o amenințare la adresa ordinii publice. Motivele invocate de instanțele naționale și de Guvern pentru refuzul înregistrării asociației se refereau la necesitatea de a evita crearea unei imagini înșelătoare și la protejarea ordinii, certitudinii juridice și stabilității în materie de drept. În absența oricăror dovezi concludente care să demonstreze că, prin alegerea denumirii „Asociația Culturală a Femeilor Turce din Prefectura Xanthi”, asociația reclamanților ar fi adoptat o politică ce reprezenta o amenințare reală la adresa ordinii publice sau a societății democratice, Curtea consideră că simpla denumire a asociației nu poate, prin ea însăși, justifica refuzul înregistrării.</w:t>
            </w:r>
          </w:p>
          <w:p w14:paraId="4290C73D" w14:textId="15C7C883" w:rsidR="00EF2133" w:rsidRPr="009C3A85" w:rsidRDefault="00BD654D" w:rsidP="00E16F71">
            <w:pPr>
              <w:spacing w:after="120" w:line="276" w:lineRule="auto"/>
              <w:jc w:val="both"/>
              <w:rPr>
                <w:rFonts w:asciiTheme="majorBidi" w:hAnsiTheme="majorBidi" w:cstheme="majorBidi"/>
                <w:lang w:val="ro-MD"/>
              </w:rPr>
            </w:pPr>
            <w:r w:rsidRPr="009C3A85">
              <w:rPr>
                <w:rFonts w:asciiTheme="majorBidi" w:hAnsiTheme="majorBidi" w:cstheme="majorBidi"/>
                <w:lang w:val="ro-MD"/>
              </w:rPr>
              <w:t>51. Având în vedere cele de mai sus, Curtea consideră că motivele invocate de autorități pentru refuzul înregistrării asociației reclamanților nu au fost relevante și suficiente. Prin urmare, nu s-a demonstrat că restricțiile aplicate în prezenta cauză, și anume neînregistrarea asociației reclamanților, răspundeau unei „nevoi sociale imperioase”.</w:t>
            </w:r>
          </w:p>
        </w:tc>
        <w:tc>
          <w:tcPr>
            <w:tcW w:w="1422" w:type="dxa"/>
            <w:tcBorders>
              <w:top w:val="nil"/>
              <w:bottom w:val="nil"/>
            </w:tcBorders>
          </w:tcPr>
          <w:p w14:paraId="7AC68887" w14:textId="54099CD5" w:rsidR="0087236C" w:rsidRPr="009C3A85" w:rsidRDefault="0087236C"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Fiecăr</w:t>
            </w:r>
            <w:r w:rsidR="001F4E35" w:rsidRPr="009C3A85">
              <w:rPr>
                <w:rFonts w:asciiTheme="majorBidi" w:hAnsiTheme="majorBidi" w:cstheme="majorBidi"/>
                <w:lang w:val="ro-MD"/>
              </w:rPr>
              <w:t>ei</w:t>
            </w:r>
            <w:r w:rsidRPr="009C3A85">
              <w:rPr>
                <w:rFonts w:asciiTheme="majorBidi" w:hAnsiTheme="majorBidi" w:cstheme="majorBidi"/>
                <w:lang w:val="ro-MD"/>
              </w:rPr>
              <w:t xml:space="preserve"> reclamant</w:t>
            </w:r>
            <w:r w:rsidR="001F4E35" w:rsidRPr="009C3A85">
              <w:rPr>
                <w:rFonts w:asciiTheme="majorBidi" w:hAnsiTheme="majorBidi" w:cstheme="majorBidi"/>
                <w:lang w:val="ro-MD"/>
              </w:rPr>
              <w:t>e</w:t>
            </w:r>
            <w:r w:rsidRPr="009C3A85">
              <w:rPr>
                <w:rFonts w:asciiTheme="majorBidi" w:hAnsiTheme="majorBidi" w:cstheme="majorBidi"/>
                <w:lang w:val="ro-MD"/>
              </w:rPr>
              <w:t>:</w:t>
            </w:r>
          </w:p>
          <w:p w14:paraId="761285EE" w14:textId="77777777" w:rsidR="0087236C" w:rsidRPr="009C3A85" w:rsidRDefault="0087236C" w:rsidP="00EF6956">
            <w:pPr>
              <w:spacing w:after="120" w:line="276" w:lineRule="auto"/>
              <w:rPr>
                <w:rFonts w:asciiTheme="majorBidi" w:hAnsiTheme="majorBidi" w:cstheme="majorBidi"/>
                <w:lang w:val="ro-MD"/>
              </w:rPr>
            </w:pPr>
            <w:r w:rsidRPr="009C3A85">
              <w:rPr>
                <w:rFonts w:asciiTheme="majorBidi" w:hAnsiTheme="majorBidi" w:cstheme="majorBidi"/>
                <w:lang w:val="ro-MD"/>
              </w:rPr>
              <w:t>câte 3 000 EUR (moral)</w:t>
            </w:r>
          </w:p>
          <w:p w14:paraId="5F773CD4" w14:textId="77777777" w:rsidR="0087236C" w:rsidRPr="009C3A85" w:rsidRDefault="0087236C" w:rsidP="00EF6956">
            <w:pPr>
              <w:spacing w:after="120" w:line="276" w:lineRule="auto"/>
              <w:rPr>
                <w:rFonts w:asciiTheme="majorBidi" w:hAnsiTheme="majorBidi" w:cstheme="majorBidi"/>
                <w:lang w:val="ro-MD"/>
              </w:rPr>
            </w:pPr>
            <w:r w:rsidRPr="009C3A85">
              <w:rPr>
                <w:rFonts w:asciiTheme="majorBidi" w:hAnsiTheme="majorBidi" w:cstheme="majorBidi"/>
                <w:lang w:val="ro-MD"/>
              </w:rPr>
              <w:t>Solidar:</w:t>
            </w:r>
          </w:p>
          <w:p w14:paraId="47383F69" w14:textId="0665FA24" w:rsidR="0087236C" w:rsidRPr="009C3A85" w:rsidRDefault="0087236C" w:rsidP="00EF6956">
            <w:pPr>
              <w:spacing w:after="120" w:line="276" w:lineRule="auto"/>
              <w:rPr>
                <w:rFonts w:asciiTheme="majorBidi" w:hAnsiTheme="majorBidi" w:cstheme="majorBidi"/>
                <w:lang w:val="ro-MD"/>
              </w:rPr>
            </w:pPr>
            <w:r w:rsidRPr="009C3A85">
              <w:rPr>
                <w:rFonts w:asciiTheme="majorBidi" w:hAnsiTheme="majorBidi" w:cstheme="majorBidi"/>
                <w:lang w:val="ro-MD"/>
              </w:rPr>
              <w:t>4 677.8 EUR (cost./chelt.)</w:t>
            </w:r>
          </w:p>
        </w:tc>
      </w:tr>
      <w:tr w:rsidR="000A2B79" w:rsidRPr="002904F1" w14:paraId="3ACE5A4D" w14:textId="77777777" w:rsidTr="0038457E">
        <w:tc>
          <w:tcPr>
            <w:tcW w:w="1345" w:type="dxa"/>
            <w:tcBorders>
              <w:top w:val="nil"/>
              <w:bottom w:val="single" w:sz="4" w:space="0" w:color="auto"/>
            </w:tcBorders>
          </w:tcPr>
          <w:p w14:paraId="5C375117" w14:textId="77777777" w:rsidR="000A2B79" w:rsidRPr="009C3A85" w:rsidRDefault="000A2B79"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lastRenderedPageBreak/>
              <w:t>46</w:t>
            </w:r>
          </w:p>
          <w:p w14:paraId="4F8A9DDB" w14:textId="77777777" w:rsidR="009E0C49" w:rsidRPr="009C3A85" w:rsidRDefault="000A2B79" w:rsidP="009E0C49">
            <w:pPr>
              <w:spacing w:after="120" w:line="276" w:lineRule="auto"/>
              <w:jc w:val="center"/>
              <w:rPr>
                <w:rFonts w:asciiTheme="majorBidi" w:hAnsiTheme="majorBidi" w:cstheme="majorBidi"/>
                <w:lang w:val="ro-MD"/>
              </w:rPr>
            </w:pPr>
            <w:r w:rsidRPr="009C3A85">
              <w:rPr>
                <w:rFonts w:asciiTheme="majorBidi" w:hAnsiTheme="majorBidi" w:cstheme="majorBidi"/>
                <w:lang w:val="ro-MD"/>
              </w:rPr>
              <w:t>Executarea hotărârii</w:t>
            </w:r>
          </w:p>
          <w:p w14:paraId="65153E21" w14:textId="5542A1E8" w:rsidR="009E0C49" w:rsidRPr="009C3A85" w:rsidRDefault="009E0C49" w:rsidP="009E0C49">
            <w:pPr>
              <w:spacing w:after="120" w:line="276" w:lineRule="auto"/>
              <w:jc w:val="center"/>
              <w:rPr>
                <w:rFonts w:asciiTheme="majorBidi" w:hAnsiTheme="majorBidi" w:cstheme="majorBidi"/>
                <w:lang w:val="ro-MD"/>
              </w:rPr>
            </w:pPr>
            <w:r w:rsidRPr="009C3A85">
              <w:rPr>
                <w:rFonts w:asciiTheme="majorBidi" w:hAnsiTheme="majorBidi" w:cstheme="majorBidi"/>
                <w:lang w:val="ro-MD"/>
              </w:rPr>
              <w:t>Măsurile individuale</w:t>
            </w:r>
          </w:p>
        </w:tc>
        <w:tc>
          <w:tcPr>
            <w:tcW w:w="1260" w:type="dxa"/>
            <w:tcBorders>
              <w:top w:val="nil"/>
              <w:bottom w:val="single" w:sz="4" w:space="0" w:color="auto"/>
            </w:tcBorders>
          </w:tcPr>
          <w:p w14:paraId="7AFD73D7" w14:textId="77777777" w:rsidR="000A2B79" w:rsidRPr="009C3A85" w:rsidRDefault="000A2B79" w:rsidP="00EF6956">
            <w:pPr>
              <w:spacing w:after="120" w:line="276" w:lineRule="auto"/>
              <w:jc w:val="center"/>
              <w:rPr>
                <w:rFonts w:asciiTheme="majorBidi" w:hAnsiTheme="majorBidi" w:cstheme="majorBidi"/>
                <w:lang w:val="ro-MD"/>
              </w:rPr>
            </w:pPr>
          </w:p>
        </w:tc>
        <w:tc>
          <w:tcPr>
            <w:tcW w:w="2340" w:type="dxa"/>
            <w:tcBorders>
              <w:top w:val="nil"/>
              <w:bottom w:val="single" w:sz="4" w:space="0" w:color="auto"/>
            </w:tcBorders>
          </w:tcPr>
          <w:p w14:paraId="685208F9" w14:textId="1ED8982D" w:rsidR="000A2B79" w:rsidRPr="009C3A85" w:rsidRDefault="009E0C49" w:rsidP="00A504D0">
            <w:pPr>
              <w:spacing w:after="120" w:line="276" w:lineRule="auto"/>
              <w:jc w:val="both"/>
              <w:rPr>
                <w:rFonts w:asciiTheme="majorBidi" w:hAnsiTheme="majorBidi" w:cstheme="majorBidi"/>
                <w:lang w:val="ro-MD"/>
              </w:rPr>
            </w:pPr>
            <w:r w:rsidRPr="009C3A85">
              <w:rPr>
                <w:rFonts w:asciiTheme="majorBidi" w:hAnsiTheme="majorBidi" w:cstheme="majorBidi"/>
                <w:lang w:val="ro-MD"/>
              </w:rPr>
              <w:t>Măsurile individuale; redeschiderea procedurii, dacă se solicită, este cea mai potrivită modalitate de a pune capăt încălcării și de a acorda despăgubiri</w:t>
            </w:r>
          </w:p>
        </w:tc>
        <w:tc>
          <w:tcPr>
            <w:tcW w:w="7470" w:type="dxa"/>
            <w:tcBorders>
              <w:top w:val="nil"/>
              <w:bottom w:val="single" w:sz="4" w:space="0" w:color="auto"/>
            </w:tcBorders>
          </w:tcPr>
          <w:p w14:paraId="318BF35D" w14:textId="12DCD512" w:rsidR="00623711" w:rsidRPr="009C3A85" w:rsidRDefault="00623711" w:rsidP="00623711">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64. Curtea observă că, în prezenta cauză, a constatat o încălcare a articolului 11 din Convenție, pe motiv că autoritățile naționale au refuzat să înregistreze asociația reclamanților. Încălcarea a rezultat, în special, din modul în care instanțele naționale au interpretat articolele 78-81 din Codul civil. Curtea observă, de asemenea, că au existat mai multe cauze similare împotriva Greciei, în care aceasta a concluzionat că a avut loc o încălcare a articolului 11 din Convenție, a căror examinare se află încă în curs de desfășurare în fața Comitetului </w:t>
            </w:r>
            <w:r w:rsidR="004E4B22" w:rsidRPr="009C3A85">
              <w:rPr>
                <w:rFonts w:asciiTheme="majorBidi" w:hAnsiTheme="majorBidi" w:cstheme="majorBidi"/>
                <w:lang w:val="ro-MD"/>
              </w:rPr>
              <w:t xml:space="preserve">de </w:t>
            </w:r>
            <w:r w:rsidRPr="009C3A85">
              <w:rPr>
                <w:rFonts w:asciiTheme="majorBidi" w:hAnsiTheme="majorBidi" w:cstheme="majorBidi"/>
                <w:lang w:val="ro-MD"/>
              </w:rPr>
              <w:t>Miniștr</w:t>
            </w:r>
            <w:r w:rsidR="004E4B22" w:rsidRPr="009C3A85">
              <w:rPr>
                <w:rFonts w:asciiTheme="majorBidi" w:hAnsiTheme="majorBidi" w:cstheme="majorBidi"/>
                <w:lang w:val="ro-MD"/>
              </w:rPr>
              <w:t>i.</w:t>
            </w:r>
          </w:p>
          <w:p w14:paraId="2E2F1AB0" w14:textId="10420027" w:rsidR="000A2B79" w:rsidRPr="009C3A85" w:rsidRDefault="00623711" w:rsidP="00623711">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65. În principiu, nu este de competența Curții să indice în mod exact cum ar trebui un stat să pună capăt unei încălcări a Convenției și să repare consecințele acesteia. Totuși, având în vedere principiile enunțate mai sus — și fără a aduce atingere </w:t>
            </w:r>
            <w:r w:rsidRPr="009C3A85">
              <w:rPr>
                <w:rFonts w:asciiTheme="majorBidi" w:hAnsiTheme="majorBidi" w:cstheme="majorBidi"/>
                <w:lang w:val="ro-MD"/>
              </w:rPr>
              <w:lastRenderedPageBreak/>
              <w:t>oricăror măsuri generale care ar putea fi necesare pentru prevenirea sau repararea altor încălcări similare — redeschiderea procedurilor, dacă este solicitată, ar constitui modalitatea cea mai potrivită de a pune capăt încălcării constatate în prezenta cauză și de a oferi reparație reclamanților.</w:t>
            </w:r>
          </w:p>
        </w:tc>
        <w:tc>
          <w:tcPr>
            <w:tcW w:w="1422" w:type="dxa"/>
            <w:tcBorders>
              <w:top w:val="nil"/>
              <w:bottom w:val="single" w:sz="4" w:space="0" w:color="auto"/>
            </w:tcBorders>
          </w:tcPr>
          <w:p w14:paraId="601FB0CC" w14:textId="77777777" w:rsidR="000A2B79" w:rsidRPr="009C3A85" w:rsidRDefault="000A2B79" w:rsidP="00EF6956">
            <w:pPr>
              <w:spacing w:after="120" w:line="276" w:lineRule="auto"/>
              <w:rPr>
                <w:rFonts w:asciiTheme="majorBidi" w:hAnsiTheme="majorBidi" w:cstheme="majorBidi"/>
                <w:lang w:val="ro-MD"/>
              </w:rPr>
            </w:pPr>
          </w:p>
        </w:tc>
      </w:tr>
      <w:tr w:rsidR="007C6372" w:rsidRPr="002904F1" w14:paraId="3939041A" w14:textId="77777777" w:rsidTr="00DC3BE4">
        <w:tc>
          <w:tcPr>
            <w:tcW w:w="13837" w:type="dxa"/>
            <w:gridSpan w:val="5"/>
            <w:tcBorders>
              <w:top w:val="single" w:sz="4" w:space="0" w:color="auto"/>
            </w:tcBorders>
            <w:shd w:val="clear" w:color="auto" w:fill="FFF5EE"/>
          </w:tcPr>
          <w:p w14:paraId="5212E070" w14:textId="776621F8" w:rsidR="007C6372" w:rsidRPr="009C3A85" w:rsidRDefault="007C6372" w:rsidP="00EF6956">
            <w:pPr>
              <w:pStyle w:val="1"/>
              <w:spacing w:line="276" w:lineRule="auto"/>
              <w:outlineLvl w:val="0"/>
            </w:pPr>
            <w:bookmarkStart w:id="9" w:name="_Toc213590713"/>
            <w:r w:rsidRPr="009C3A85">
              <w:t>Protocolul nr. 1</w:t>
            </w:r>
            <w:r w:rsidR="005E6205" w:rsidRPr="009C3A85">
              <w:t xml:space="preserve"> Articolul 1</w:t>
            </w:r>
            <w:r w:rsidRPr="009C3A85">
              <w:t>. Protecția proprietății</w:t>
            </w:r>
            <w:bookmarkEnd w:id="9"/>
          </w:p>
        </w:tc>
      </w:tr>
      <w:tr w:rsidR="0087236C" w:rsidRPr="009C3A85" w14:paraId="01BEF623" w14:textId="77777777" w:rsidTr="0038457E">
        <w:tc>
          <w:tcPr>
            <w:tcW w:w="1345" w:type="dxa"/>
          </w:tcPr>
          <w:p w14:paraId="05C7F4D2" w14:textId="6307CFEA"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1 P1</w:t>
            </w:r>
          </w:p>
          <w:p w14:paraId="0249666E" w14:textId="2E441AE1"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Neexecutarea hotărârilor arbitrale</w:t>
            </w:r>
          </w:p>
        </w:tc>
        <w:tc>
          <w:tcPr>
            <w:tcW w:w="1260" w:type="dxa"/>
          </w:tcPr>
          <w:p w14:paraId="61B1C28F" w14:textId="6BF06108"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30.06.2022</w:t>
            </w:r>
            <w:r w:rsidRPr="009C3A85">
              <w:rPr>
                <w:rFonts w:asciiTheme="majorBidi" w:hAnsiTheme="majorBidi" w:cstheme="majorBidi"/>
                <w:lang w:val="ro-MD"/>
              </w:rPr>
              <w:br/>
            </w:r>
            <w:hyperlink r:id="rId23" w:history="1">
              <w:r w:rsidRPr="009C3A85">
                <w:rPr>
                  <w:rStyle w:val="a4"/>
                  <w:rFonts w:asciiTheme="majorBidi" w:hAnsiTheme="majorBidi" w:cstheme="majorBidi"/>
                  <w:lang w:val="ro-MD"/>
                </w:rPr>
                <w:t>BTS Holding, A.S. c. Slovaciei</w:t>
              </w:r>
            </w:hyperlink>
          </w:p>
        </w:tc>
        <w:tc>
          <w:tcPr>
            <w:tcW w:w="2340" w:type="dxa"/>
          </w:tcPr>
          <w:p w14:paraId="7B81DFFB" w14:textId="7358CB43" w:rsidR="0087236C" w:rsidRPr="009C3A85" w:rsidRDefault="0087236C" w:rsidP="00EF6956">
            <w:pPr>
              <w:spacing w:after="120" w:line="276" w:lineRule="auto"/>
              <w:jc w:val="both"/>
              <w:rPr>
                <w:rFonts w:asciiTheme="majorBidi" w:hAnsiTheme="majorBidi" w:cstheme="majorBidi"/>
                <w:lang w:val="ro-MD"/>
              </w:rPr>
            </w:pPr>
            <w:r w:rsidRPr="009C3A85">
              <w:rPr>
                <w:rFonts w:asciiTheme="majorBidi" w:hAnsiTheme="majorBidi" w:cstheme="majorBidi"/>
                <w:lang w:val="ro-MD"/>
              </w:rPr>
              <w:t>Neexecutare a unei sentințe arbitrale impusă de Camera Internațională de Comerț; privatizarea; proporționalitatea ingerinței; interesul general</w:t>
            </w:r>
          </w:p>
        </w:tc>
        <w:tc>
          <w:tcPr>
            <w:tcW w:w="7470" w:type="dxa"/>
          </w:tcPr>
          <w:p w14:paraId="516085E2" w14:textId="7AFAF696" w:rsidR="0087236C" w:rsidRPr="009C3A85" w:rsidRDefault="00AE6A45" w:rsidP="00AE6A45">
            <w:pPr>
              <w:spacing w:after="120" w:line="276" w:lineRule="auto"/>
              <w:ind w:left="-43"/>
              <w:jc w:val="both"/>
              <w:rPr>
                <w:rFonts w:asciiTheme="majorBidi" w:hAnsiTheme="majorBidi" w:cstheme="majorBidi"/>
                <w:lang w:val="ro-MD"/>
              </w:rPr>
            </w:pPr>
            <w:r w:rsidRPr="009C3A85">
              <w:rPr>
                <w:rFonts w:asciiTheme="majorBidi" w:hAnsiTheme="majorBidi" w:cstheme="majorBidi"/>
                <w:lang w:val="ro-MD"/>
              </w:rPr>
              <w:t xml:space="preserve">49. </w:t>
            </w:r>
            <w:r w:rsidR="0087236C" w:rsidRPr="009C3A85">
              <w:rPr>
                <w:rFonts w:asciiTheme="majorBidi" w:hAnsiTheme="majorBidi" w:cstheme="majorBidi"/>
                <w:lang w:val="ro-MD"/>
              </w:rPr>
              <w:t>Curtea reiterează că o „creanță” poate constitui un „bun” în sensul articolului 1 din Protocolul nr. 1 dacă este suficient de bine stabilită pentru a putea fi executată, de exemplu în temeiul unei hotărâri arbitrale.</w:t>
            </w:r>
          </w:p>
          <w:p w14:paraId="407A9FF0" w14:textId="3976347E" w:rsidR="0087236C" w:rsidRPr="009C3A85" w:rsidRDefault="00AE6A45" w:rsidP="00AE6A45">
            <w:pPr>
              <w:spacing w:after="120" w:line="276" w:lineRule="auto"/>
              <w:ind w:left="-43"/>
              <w:jc w:val="both"/>
              <w:rPr>
                <w:rFonts w:asciiTheme="majorBidi" w:hAnsiTheme="majorBidi" w:cstheme="majorBidi"/>
                <w:lang w:val="ro-MD"/>
              </w:rPr>
            </w:pPr>
            <w:r w:rsidRPr="009C3A85">
              <w:rPr>
                <w:rFonts w:asciiTheme="majorBidi" w:hAnsiTheme="majorBidi" w:cstheme="majorBidi"/>
                <w:lang w:val="ro-MD"/>
              </w:rPr>
              <w:t xml:space="preserve">71. </w:t>
            </w:r>
            <w:r w:rsidR="0087236C" w:rsidRPr="009C3A85">
              <w:rPr>
                <w:rFonts w:asciiTheme="majorBidi" w:hAnsiTheme="majorBidi" w:cstheme="majorBidi"/>
                <w:lang w:val="ro-MD"/>
              </w:rPr>
              <w:t>Motivele reținute de instanțele naționale fie nu au fost invocate, fie depășeau cadrul legal pentru refuzul executării unei hotărâri arbitrale străine prevăzut de legislația națională și de Convenția de la New York. Oricum, chiar presupunând că refuzul executării hotărârii pe aceste motive ar fi servit unui interes general, nu s-a demonstrat că acesta a fost proporțional cu scopul urmărit. În acest sens, Curtea reamintește că Guvernul nu a prezentat niciun argument pe acest aspect al cauzei și că, concentrându-se asupra elementelor care ar fi împiedicat executarea pe motive de ordine publică sau de formalități procedurale, instanțele naționale nu au ținut seama de cerințele privind protecția drepturilor fundamentale ale societății reclamante și de necesitatea realizării unui just echilibru între acestea și interesul general al comunității.</w:t>
            </w:r>
          </w:p>
        </w:tc>
        <w:tc>
          <w:tcPr>
            <w:tcW w:w="1422" w:type="dxa"/>
          </w:tcPr>
          <w:p w14:paraId="3B56887D" w14:textId="01B3E0B5" w:rsidR="0087236C" w:rsidRPr="009C3A85" w:rsidRDefault="0087236C" w:rsidP="00EF6956">
            <w:pPr>
              <w:spacing w:after="120" w:line="276" w:lineRule="auto"/>
              <w:rPr>
                <w:rFonts w:asciiTheme="majorBidi" w:hAnsiTheme="majorBidi" w:cstheme="majorBidi"/>
                <w:lang w:val="ro-MD"/>
              </w:rPr>
            </w:pPr>
            <w:r w:rsidRPr="009C3A85">
              <w:rPr>
                <w:rFonts w:asciiTheme="majorBidi" w:hAnsiTheme="majorBidi" w:cstheme="majorBidi"/>
                <w:lang w:val="ro-MD"/>
              </w:rPr>
              <w:t>30 000 EUR</w:t>
            </w:r>
            <w:r w:rsidR="00D8793E" w:rsidRPr="009C3A85">
              <w:rPr>
                <w:rFonts w:asciiTheme="majorBidi" w:hAnsiTheme="majorBidi" w:cstheme="majorBidi"/>
                <w:lang w:val="ro-MD"/>
              </w:rPr>
              <w:t xml:space="preserve"> (cost./chelt.)</w:t>
            </w:r>
          </w:p>
        </w:tc>
      </w:tr>
      <w:tr w:rsidR="007C6372" w:rsidRPr="002904F1" w14:paraId="742DD85D" w14:textId="77777777" w:rsidTr="00DC3BE4">
        <w:tc>
          <w:tcPr>
            <w:tcW w:w="13837" w:type="dxa"/>
            <w:gridSpan w:val="5"/>
            <w:shd w:val="clear" w:color="auto" w:fill="F5F5DC"/>
          </w:tcPr>
          <w:p w14:paraId="4BFE41C4" w14:textId="6981A65C" w:rsidR="007C6372" w:rsidRPr="009C3A85" w:rsidRDefault="007C6372" w:rsidP="00EF6956">
            <w:pPr>
              <w:pStyle w:val="1"/>
              <w:spacing w:line="276" w:lineRule="auto"/>
              <w:outlineLvl w:val="0"/>
            </w:pPr>
            <w:bookmarkStart w:id="10" w:name="_Toc213590714"/>
            <w:r w:rsidRPr="009C3A85">
              <w:t>Protocolul nr. 1</w:t>
            </w:r>
            <w:r w:rsidR="005E6205" w:rsidRPr="009C3A85">
              <w:t xml:space="preserve"> Articolul 3</w:t>
            </w:r>
            <w:r w:rsidRPr="009C3A85">
              <w:t>. Dreptul la alegeri libere</w:t>
            </w:r>
            <w:bookmarkEnd w:id="10"/>
          </w:p>
        </w:tc>
      </w:tr>
      <w:tr w:rsidR="0087236C" w:rsidRPr="009C3A85" w14:paraId="6B155DB5" w14:textId="77777777" w:rsidTr="0038457E">
        <w:tc>
          <w:tcPr>
            <w:tcW w:w="1345" w:type="dxa"/>
          </w:tcPr>
          <w:p w14:paraId="5F36CFE8" w14:textId="00041139" w:rsidR="0087236C"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3 P1</w:t>
            </w:r>
          </w:p>
          <w:p w14:paraId="37157693" w14:textId="2FB03D13" w:rsidR="00A602D3" w:rsidRDefault="00A602D3" w:rsidP="00EF6956">
            <w:pPr>
              <w:spacing w:after="120" w:line="276" w:lineRule="auto"/>
              <w:jc w:val="center"/>
              <w:rPr>
                <w:rFonts w:asciiTheme="majorBidi" w:hAnsiTheme="majorBidi" w:cstheme="majorBidi"/>
                <w:lang w:val="ro-MD"/>
              </w:rPr>
            </w:pPr>
            <w:r>
              <w:rPr>
                <w:rFonts w:asciiTheme="majorBidi" w:hAnsiTheme="majorBidi" w:cstheme="majorBidi"/>
                <w:lang w:val="ro-MD"/>
              </w:rPr>
              <w:t>Dreptul de vot</w:t>
            </w:r>
            <w:r w:rsidR="00D55B8E">
              <w:rPr>
                <w:rFonts w:asciiTheme="majorBidi" w:hAnsiTheme="majorBidi" w:cstheme="majorBidi"/>
                <w:lang w:val="ro-MD"/>
              </w:rPr>
              <w:t xml:space="preserve"> al deținuților</w:t>
            </w:r>
          </w:p>
          <w:p w14:paraId="17733751" w14:textId="2F0EA0AD" w:rsidR="00A602D3" w:rsidRPr="009C3A85" w:rsidRDefault="00A602D3" w:rsidP="00EF6956">
            <w:pPr>
              <w:spacing w:after="120" w:line="276" w:lineRule="auto"/>
              <w:jc w:val="center"/>
              <w:rPr>
                <w:rFonts w:asciiTheme="majorBidi" w:hAnsiTheme="majorBidi" w:cstheme="majorBidi"/>
                <w:lang w:val="ro-MD"/>
              </w:rPr>
            </w:pPr>
          </w:p>
        </w:tc>
        <w:tc>
          <w:tcPr>
            <w:tcW w:w="1260" w:type="dxa"/>
          </w:tcPr>
          <w:p w14:paraId="3A1DED67" w14:textId="19A2AD22"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23.09.2025</w:t>
            </w:r>
            <w:r w:rsidRPr="009C3A85">
              <w:rPr>
                <w:rFonts w:asciiTheme="majorBidi" w:hAnsiTheme="majorBidi" w:cstheme="majorBidi"/>
                <w:lang w:val="ro-MD"/>
              </w:rPr>
              <w:br/>
            </w:r>
            <w:hyperlink r:id="rId24" w:history="1">
              <w:r w:rsidRPr="009C3A85">
                <w:rPr>
                  <w:rStyle w:val="a4"/>
                  <w:rFonts w:asciiTheme="majorBidi" w:hAnsiTheme="majorBidi" w:cstheme="majorBidi"/>
                  <w:lang w:val="ro-MD"/>
                </w:rPr>
                <w:t>Hora c. Regatului Unit</w:t>
              </w:r>
            </w:hyperlink>
          </w:p>
        </w:tc>
        <w:tc>
          <w:tcPr>
            <w:tcW w:w="2340" w:type="dxa"/>
          </w:tcPr>
          <w:p w14:paraId="29294D21" w14:textId="1813BC4E" w:rsidR="0087236C" w:rsidRPr="009C3A85" w:rsidRDefault="0087236C" w:rsidP="00EF6956">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Neeligibilitatea deținuților care execută pedepse cu închisoarea pe durată nedeterminată de a vota la alegerile generale (parlamentare) din 2019; inexistența unui sprijin general la nivel național pentru </w:t>
            </w:r>
            <w:r w:rsidRPr="009C3A85">
              <w:rPr>
                <w:rFonts w:asciiTheme="majorBidi" w:hAnsiTheme="majorBidi" w:cstheme="majorBidi"/>
                <w:lang w:val="ro-MD"/>
              </w:rPr>
              <w:lastRenderedPageBreak/>
              <w:t>acordarea dreptului de vot deținuților condamnați pentru infracțiuni grave care execută pedepse lungi sau pe durată nedeterminată; gravitatea infracțiunii, comportamentul său, riscul pe care îl reprezintă pentru public și impunerea unei pedepse severe, nu este disproporționată; menținerea privării de drepturi electorale, în ciuda expirării pedepsei minime cu închisoarea, este proporțională</w:t>
            </w:r>
          </w:p>
        </w:tc>
        <w:tc>
          <w:tcPr>
            <w:tcW w:w="7470" w:type="dxa"/>
          </w:tcPr>
          <w:p w14:paraId="7310CEFC" w14:textId="0992C502" w:rsidR="0087236C" w:rsidRPr="009C3A85" w:rsidRDefault="005720C2" w:rsidP="005720C2">
            <w:pPr>
              <w:spacing w:after="120" w:line="276" w:lineRule="auto"/>
              <w:jc w:val="both"/>
              <w:rPr>
                <w:rFonts w:asciiTheme="majorBidi" w:hAnsiTheme="majorBidi" w:cstheme="majorBidi"/>
                <w:lang w:val="ro-MD"/>
              </w:rPr>
            </w:pPr>
            <w:r w:rsidRPr="009C3A85">
              <w:rPr>
                <w:rFonts w:asciiTheme="majorBidi" w:hAnsiTheme="majorBidi" w:cstheme="majorBidi"/>
                <w:lang w:val="ro-MD"/>
              </w:rPr>
              <w:lastRenderedPageBreak/>
              <w:t xml:space="preserve">132. </w:t>
            </w:r>
            <w:r w:rsidR="0087236C" w:rsidRPr="009C3A85">
              <w:rPr>
                <w:rFonts w:asciiTheme="majorBidi" w:hAnsiTheme="majorBidi" w:cstheme="majorBidi"/>
                <w:lang w:val="ro-MD"/>
              </w:rPr>
              <w:t xml:space="preserve">Reclamantul a fost condamnat în 2007 pentru viol și agresiune sexuală. Nu există nicio îndoială cu privire la gravitatea acestor infracțiuni, care constituie o încălcare gravă a valorilor societății și a ordinii sociale. Condamnarea sa a urmat unei condamnări anterioare din 2000, tot pentru viol. Având în vedere gravitatea infracțiunilor care au dus la condamnările din 2007, tiparul infracțional demonstrat de comportamentul penal anterior al reclamantului și riscul semnificativ de prejudiciu grav pe care îl reprezenta pentru membrii publicului, instanța de judecată a decis să impună o pedeapsă cu durată nedeterminată. Deși termenul minim al reclamantului a expirat, eliberarea sa nu a fost încă dispusă de comisia de eliberare </w:t>
            </w:r>
            <w:r w:rsidR="0087236C" w:rsidRPr="009C3A85">
              <w:rPr>
                <w:rFonts w:asciiTheme="majorBidi" w:hAnsiTheme="majorBidi" w:cstheme="majorBidi"/>
                <w:lang w:val="ro-MD"/>
              </w:rPr>
              <w:lastRenderedPageBreak/>
              <w:t>condiționată, deoarece acesta nu a demonstrat că nu mai este necesară pentru protecția publicului continuarea detenției sale.</w:t>
            </w:r>
          </w:p>
          <w:p w14:paraId="7EAB810F" w14:textId="4E3D83EA" w:rsidR="0087236C" w:rsidRPr="009C3A85" w:rsidRDefault="005720C2" w:rsidP="005720C2">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133. </w:t>
            </w:r>
            <w:r w:rsidR="0087236C" w:rsidRPr="009C3A85">
              <w:rPr>
                <w:rFonts w:asciiTheme="majorBidi" w:hAnsiTheme="majorBidi" w:cstheme="majorBidi"/>
                <w:lang w:val="ro-MD"/>
              </w:rPr>
              <w:t>Curtea a acceptat anterior ca fiind compatibilă cu articolul 3 din Protocolul nr. 1 retragerea dreptului de vot al deținuților condamnați pentru infracțiuni grave care justifică o pedeapsă cu închisoarea deosebit de severă. Având în vedere jurisprudența sa, nu se poate afirma că privarea de drepturile electorale a reclamantului, având în vedere gravitatea infracțiunii sale, comportamentul său, riscul pe care a fost considerat că îl reprezintă pentru public și pedeapsa severă cu închisoare pe durată nedeterminată care i-a fost aplicată, a fost disproporționată în raport cu obiectivele legitime urmărite prin restricțiile dreptului de vot aplicate deținuților condamnați.</w:t>
            </w:r>
          </w:p>
          <w:p w14:paraId="3080B41F" w14:textId="760FEBA8" w:rsidR="0087236C" w:rsidRPr="009C3A85" w:rsidRDefault="005720C2" w:rsidP="005720C2">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134. </w:t>
            </w:r>
            <w:r w:rsidR="0087236C" w:rsidRPr="009C3A85">
              <w:rPr>
                <w:rFonts w:asciiTheme="majorBidi" w:hAnsiTheme="majorBidi" w:cstheme="majorBidi"/>
                <w:lang w:val="ro-MD"/>
              </w:rPr>
              <w:t>Această concluzie nu este afectată de expirarea termenului minim impus de instanța de judecată în cazul reclamantului: privarea continuă a drepturilor civile a reclamantului, în temeiul detenției sale continue în baza unei pedepse cu închisoarea pe durată nedeterminată, având în vedere riscul pe care acesta îl prezintă în continuare, rămâne proporțională cu obiectivele legitime urmărite de măsură și, în special, cu obiectivul de a spori responsabilitatea civică și respectul pentru statul de drept. Este de remarcat faptul că, odată ce reclamantul a fost considerat apt pentru eliberare de către comisia de eliberare condiționată și, în consecință, a fost eliberat, dreptul său de vot îi va fi restabilit.</w:t>
            </w:r>
          </w:p>
        </w:tc>
        <w:tc>
          <w:tcPr>
            <w:tcW w:w="1422" w:type="dxa"/>
          </w:tcPr>
          <w:p w14:paraId="548AC787" w14:textId="23B74F56" w:rsidR="0087236C" w:rsidRPr="009C3A85" w:rsidRDefault="0087236C"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Nicio încălcare</w:t>
            </w:r>
          </w:p>
        </w:tc>
      </w:tr>
      <w:tr w:rsidR="00524012" w:rsidRPr="002904F1" w14:paraId="228A6FC7" w14:textId="77777777" w:rsidTr="00DC3BE4">
        <w:tc>
          <w:tcPr>
            <w:tcW w:w="13837" w:type="dxa"/>
            <w:gridSpan w:val="5"/>
            <w:shd w:val="clear" w:color="auto" w:fill="FDF5E6"/>
          </w:tcPr>
          <w:p w14:paraId="3FD326F6" w14:textId="25D52C08" w:rsidR="00524012" w:rsidRPr="009C3A85" w:rsidRDefault="00524012" w:rsidP="00EF6956">
            <w:pPr>
              <w:pStyle w:val="1"/>
              <w:spacing w:line="276" w:lineRule="auto"/>
              <w:outlineLvl w:val="0"/>
            </w:pPr>
            <w:bookmarkStart w:id="11" w:name="_Toc213590715"/>
            <w:r w:rsidRPr="009C3A85">
              <w:t>Protocolul nr. 4</w:t>
            </w:r>
            <w:r w:rsidR="005E6205" w:rsidRPr="009C3A85">
              <w:t xml:space="preserve"> Articolul 2</w:t>
            </w:r>
            <w:r w:rsidRPr="009C3A85">
              <w:t>. Libertatea de circulație</w:t>
            </w:r>
            <w:bookmarkEnd w:id="11"/>
          </w:p>
        </w:tc>
      </w:tr>
      <w:tr w:rsidR="0087236C" w:rsidRPr="009C3A85" w14:paraId="60A2AE0A" w14:textId="77777777" w:rsidTr="0038457E">
        <w:tc>
          <w:tcPr>
            <w:tcW w:w="1345" w:type="dxa"/>
          </w:tcPr>
          <w:p w14:paraId="586EC054" w14:textId="2BD5403E"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2 P4</w:t>
            </w:r>
          </w:p>
          <w:p w14:paraId="62CC7CF5" w14:textId="751F9A48"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Libertatea de circulație</w:t>
            </w:r>
          </w:p>
        </w:tc>
        <w:tc>
          <w:tcPr>
            <w:tcW w:w="1260" w:type="dxa"/>
          </w:tcPr>
          <w:p w14:paraId="59E2B532" w14:textId="010CBBBF"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19.01.2023</w:t>
            </w:r>
            <w:r w:rsidRPr="009C3A85">
              <w:rPr>
                <w:rFonts w:asciiTheme="majorBidi" w:hAnsiTheme="majorBidi" w:cstheme="majorBidi"/>
                <w:lang w:val="ro-MD"/>
              </w:rPr>
              <w:br/>
            </w:r>
            <w:hyperlink r:id="rId25" w:history="1">
              <w:r w:rsidRPr="009C3A85">
                <w:rPr>
                  <w:rStyle w:val="a4"/>
                  <w:rFonts w:asciiTheme="majorBidi" w:hAnsiTheme="majorBidi" w:cstheme="majorBidi"/>
                  <w:lang w:val="ro-MD"/>
                </w:rPr>
                <w:t>Pagerie c. Franței</w:t>
              </w:r>
            </w:hyperlink>
          </w:p>
        </w:tc>
        <w:tc>
          <w:tcPr>
            <w:tcW w:w="2340" w:type="dxa"/>
          </w:tcPr>
          <w:p w14:paraId="694E121C" w14:textId="522C17F2" w:rsidR="0087236C" w:rsidRPr="009C3A85" w:rsidRDefault="0087236C" w:rsidP="00EF6956">
            <w:pPr>
              <w:spacing w:line="276" w:lineRule="auto"/>
              <w:jc w:val="both"/>
              <w:rPr>
                <w:rFonts w:asciiTheme="majorBidi" w:hAnsiTheme="majorBidi" w:cstheme="majorBidi"/>
                <w:lang w:val="ro-MD"/>
              </w:rPr>
            </w:pPr>
            <w:r w:rsidRPr="009C3A85">
              <w:rPr>
                <w:rFonts w:asciiTheme="majorBidi" w:hAnsiTheme="majorBidi" w:cstheme="majorBidi"/>
                <w:lang w:val="ro-MD"/>
              </w:rPr>
              <w:t xml:space="preserve">Interdicție preventivă de a părăsi reședința, impusă unui islamist radicalizat, pe durata a treisprezece luni, în timpul stării de urgență instituite în urma unor atentate teroriste, care </w:t>
            </w:r>
            <w:r w:rsidRPr="009C3A85">
              <w:rPr>
                <w:rFonts w:asciiTheme="majorBidi" w:hAnsiTheme="majorBidi" w:cstheme="majorBidi"/>
                <w:lang w:val="ro-MD"/>
              </w:rPr>
              <w:lastRenderedPageBreak/>
              <w:t>este însoțită de garanții procedurale suficiente; intensitatea măsurii însoțite de interdicția de circulație pe timp de noapte și de obligația de a se prezenta, de trei ori pe zi, în fața forțelor de ordine, sub sancțiunea pedepsei cu închisoarea; previzibilitatea legii; control jurisdicțional eficient; reexaminarea periodică a necesității măsurii; măsură proporțională, care nu a împiedicat viața socială și relațiile cu lumea exterioară</w:t>
            </w:r>
          </w:p>
        </w:tc>
        <w:tc>
          <w:tcPr>
            <w:tcW w:w="7470" w:type="dxa"/>
          </w:tcPr>
          <w:p w14:paraId="7337626F" w14:textId="6ECC01D8" w:rsidR="00487565" w:rsidRPr="009C3A85" w:rsidRDefault="00487565" w:rsidP="00F52AC2">
            <w:pPr>
              <w:spacing w:after="120" w:line="276" w:lineRule="auto"/>
              <w:ind w:left="-18"/>
              <w:jc w:val="both"/>
              <w:rPr>
                <w:rFonts w:asciiTheme="majorBidi" w:hAnsiTheme="majorBidi" w:cstheme="majorBidi"/>
                <w:lang w:val="ro-MD"/>
              </w:rPr>
            </w:pPr>
            <w:r w:rsidRPr="009C3A85">
              <w:rPr>
                <w:rFonts w:asciiTheme="majorBidi" w:hAnsiTheme="majorBidi" w:cstheme="majorBidi"/>
                <w:lang w:val="ro-MD"/>
              </w:rPr>
              <w:lastRenderedPageBreak/>
              <w:t>146. În cadrul examinării prezentei cereri, Curtea consideră că trebuie să examineze mai întâi dacă măsura în litigiu este compatibilă cu drepturile și libertățile garantate de Convenție și invocate de reclamant. În cazul unui răspuns afirmativ, nu este necesar ca aceasta să se pronunțe cu privire la validitatea derogării invocate de Guvernul pârât.</w:t>
            </w:r>
          </w:p>
          <w:p w14:paraId="44659BF4" w14:textId="111BD141" w:rsidR="0087236C" w:rsidRPr="009C3A85" w:rsidRDefault="00F52AC2" w:rsidP="00F52AC2">
            <w:pPr>
              <w:spacing w:after="120" w:line="276" w:lineRule="auto"/>
              <w:ind w:left="-18"/>
              <w:jc w:val="both"/>
              <w:rPr>
                <w:rFonts w:asciiTheme="majorBidi" w:hAnsiTheme="majorBidi" w:cstheme="majorBidi"/>
                <w:lang w:val="ro-MD"/>
              </w:rPr>
            </w:pPr>
            <w:r w:rsidRPr="009C3A85">
              <w:rPr>
                <w:rFonts w:asciiTheme="majorBidi" w:hAnsiTheme="majorBidi" w:cstheme="majorBidi"/>
                <w:lang w:val="ro-MD"/>
              </w:rPr>
              <w:t xml:space="preserve">171. </w:t>
            </w:r>
            <w:r w:rsidR="0087236C" w:rsidRPr="009C3A85">
              <w:rPr>
                <w:rFonts w:asciiTheme="majorBidi" w:hAnsiTheme="majorBidi" w:cstheme="majorBidi"/>
                <w:lang w:val="ro-MD"/>
              </w:rPr>
              <w:t xml:space="preserve">În măsura în care restrângerea libertății de circulație în cauză nu este specifică „anumitor zone determinate”, aceasta trebuie examinată din perspectiva celui de-al treilea paragraf al articolului 2 din Protocolul nr. 4. Potrivit jurisprudenței Curții, o </w:t>
            </w:r>
            <w:r w:rsidR="0087236C" w:rsidRPr="009C3A85">
              <w:rPr>
                <w:rFonts w:asciiTheme="majorBidi" w:hAnsiTheme="majorBidi" w:cstheme="majorBidi"/>
                <w:lang w:val="ro-MD"/>
              </w:rPr>
              <w:lastRenderedPageBreak/>
              <w:t>astfel de măsură trebuie să fie prevăzută de lege, să urmărească unul dintre scopurile legitime menționate la acest paragraf și să asigure un just echilibru între interesul general și drepturile individului.</w:t>
            </w:r>
          </w:p>
          <w:p w14:paraId="60218A9D" w14:textId="77777777" w:rsidR="0087236C" w:rsidRPr="009C3A85" w:rsidRDefault="00F52AC2" w:rsidP="00F52AC2">
            <w:pPr>
              <w:spacing w:after="120" w:line="276" w:lineRule="auto"/>
              <w:ind w:left="-18"/>
              <w:jc w:val="both"/>
              <w:rPr>
                <w:rFonts w:asciiTheme="majorBidi" w:hAnsiTheme="majorBidi" w:cstheme="majorBidi"/>
                <w:lang w:val="ro-MD"/>
              </w:rPr>
            </w:pPr>
            <w:r w:rsidRPr="009C3A85">
              <w:rPr>
                <w:rFonts w:asciiTheme="majorBidi" w:hAnsiTheme="majorBidi" w:cstheme="majorBidi"/>
                <w:lang w:val="ro-MD"/>
              </w:rPr>
              <w:t xml:space="preserve">172. </w:t>
            </w:r>
            <w:r w:rsidR="0087236C" w:rsidRPr="009C3A85">
              <w:rPr>
                <w:rFonts w:asciiTheme="majorBidi" w:hAnsiTheme="majorBidi" w:cstheme="majorBidi"/>
                <w:lang w:val="ro-MD"/>
              </w:rPr>
              <w:t>În speță, după ce a hotărât că interdicția de a părăsi reședința în litigiu a restrâns libertatea de circulație a reclamantului, Curtea trebuie să verifice dacă această ingerință era prevăzută de lege, dacă urmărea un scop legitim și dacă era necesară într-o societate democratică.</w:t>
            </w:r>
          </w:p>
          <w:p w14:paraId="48C48F03" w14:textId="384E3CA9" w:rsidR="00C01F20" w:rsidRPr="009C3A85" w:rsidRDefault="00C01F20" w:rsidP="00F52AC2">
            <w:pPr>
              <w:spacing w:after="120" w:line="276" w:lineRule="auto"/>
              <w:ind w:left="-18"/>
              <w:jc w:val="both"/>
              <w:rPr>
                <w:rFonts w:asciiTheme="majorBidi" w:hAnsiTheme="majorBidi" w:cstheme="majorBidi"/>
                <w:lang w:val="ro-MD"/>
              </w:rPr>
            </w:pPr>
            <w:r w:rsidRPr="009C3A85">
              <w:rPr>
                <w:rFonts w:asciiTheme="majorBidi" w:hAnsiTheme="majorBidi" w:cstheme="majorBidi"/>
                <w:lang w:val="ro-MD"/>
              </w:rPr>
              <w:t>191. [C]urtea consideră că dispozițiile în cauză, astfel cum au fost interpretate de instanțele naționale, stabilesc cu suficientă claritate domeniul de aplicare și modalitățile de exercitare a puterii de apreciere conferite ministrului de Interne și prevăd garanții adecvate împotriva riscurilor de abuz și de arbitrar. Curtea concluzionează că acest temei legal era previzibil.</w:t>
            </w:r>
          </w:p>
          <w:p w14:paraId="5254839D" w14:textId="77777777" w:rsidR="00C01F20" w:rsidRPr="009C3A85" w:rsidRDefault="00C01F20" w:rsidP="00F52AC2">
            <w:pPr>
              <w:spacing w:after="120" w:line="276" w:lineRule="auto"/>
              <w:ind w:left="-18"/>
              <w:jc w:val="both"/>
              <w:rPr>
                <w:rFonts w:asciiTheme="majorBidi" w:hAnsiTheme="majorBidi" w:cstheme="majorBidi"/>
                <w:lang w:val="ro-MD"/>
              </w:rPr>
            </w:pPr>
            <w:r w:rsidRPr="009C3A85">
              <w:rPr>
                <w:rFonts w:asciiTheme="majorBidi" w:hAnsiTheme="majorBidi" w:cstheme="majorBidi"/>
                <w:lang w:val="ro-MD"/>
              </w:rPr>
              <w:t>192. În opinia Curții, scopurile urmărite de ingerința în litigiu, de apărare a securității naționale, precum și de menținere a siguranței publice și a ordinii publice, erau legitime.</w:t>
            </w:r>
          </w:p>
          <w:p w14:paraId="5B03B437" w14:textId="77777777" w:rsidR="00135385" w:rsidRPr="009C3A85" w:rsidRDefault="00135385" w:rsidP="00F52AC2">
            <w:pPr>
              <w:spacing w:after="120" w:line="276" w:lineRule="auto"/>
              <w:ind w:left="-18"/>
              <w:jc w:val="both"/>
              <w:rPr>
                <w:rFonts w:asciiTheme="majorBidi" w:hAnsiTheme="majorBidi" w:cstheme="majorBidi"/>
                <w:lang w:val="ro-MD"/>
              </w:rPr>
            </w:pPr>
            <w:r w:rsidRPr="009C3A85">
              <w:rPr>
                <w:rFonts w:asciiTheme="majorBidi" w:hAnsiTheme="majorBidi" w:cstheme="majorBidi"/>
                <w:lang w:val="ro-MD"/>
              </w:rPr>
              <w:t>197. Curtea constată că ingerința în exercitarea de către reclamant a libertății de circulație a fost deosebit de gravă, în măsura în care aceasta includea atât interdicția de a părăsi teritoriul comunei Angers, cât și interdicția de circulație pe timp de noapte și obligația de a se prezenta, de trei ori pe zi, în fața forțelor de ordine, sub sancțiunea pedepsei cu închisoarea. Aceasta observă, de asemenea, că reclamantul a făcut obiectul interdicției de a părăsi reședința pentru o perioadă cumulată de peste 13 luni.</w:t>
            </w:r>
          </w:p>
          <w:p w14:paraId="217C9927" w14:textId="70532F42" w:rsidR="00487565" w:rsidRPr="009C3A85" w:rsidRDefault="00487565" w:rsidP="00487565">
            <w:pPr>
              <w:spacing w:after="120" w:line="276" w:lineRule="auto"/>
              <w:ind w:left="-18"/>
              <w:jc w:val="both"/>
              <w:rPr>
                <w:rFonts w:asciiTheme="majorBidi" w:hAnsiTheme="majorBidi" w:cstheme="majorBidi"/>
                <w:lang w:val="ro-MD"/>
              </w:rPr>
            </w:pPr>
            <w:r w:rsidRPr="009C3A85">
              <w:rPr>
                <w:rFonts w:asciiTheme="majorBidi" w:hAnsiTheme="majorBidi" w:cstheme="majorBidi"/>
                <w:lang w:val="ro-MD"/>
              </w:rPr>
              <w:t>208. Curtea deduce că, în circumstanțele cauzei, reclamantul a beneficiat de garanții procedurale adecvate.</w:t>
            </w:r>
          </w:p>
          <w:p w14:paraId="731998EE" w14:textId="4248E02D" w:rsidR="00487565" w:rsidRPr="009C3A85" w:rsidRDefault="00487565" w:rsidP="00487565">
            <w:pPr>
              <w:spacing w:after="120" w:line="276" w:lineRule="auto"/>
              <w:ind w:left="-18"/>
              <w:jc w:val="both"/>
              <w:rPr>
                <w:rFonts w:asciiTheme="majorBidi" w:hAnsiTheme="majorBidi" w:cstheme="majorBidi"/>
                <w:lang w:val="ro-MD"/>
              </w:rPr>
            </w:pPr>
            <w:r w:rsidRPr="009C3A85">
              <w:rPr>
                <w:rFonts w:asciiTheme="majorBidi" w:hAnsiTheme="majorBidi" w:cstheme="majorBidi"/>
                <w:lang w:val="ro-MD"/>
              </w:rPr>
              <w:t xml:space="preserve">209. Ținând seama de toate considerațiile de mai sus și având în vedere nevoia imperioasă pe care o reprezintă prevenirea actelor de terorism, comportamentul reclamantului, garanțiile procedurale de care acesta a beneficiat efectiv, precum și reexaminarea periodică a necesității interdicției de a părăsi reședința, Curtea </w:t>
            </w:r>
            <w:r w:rsidRPr="009C3A85">
              <w:rPr>
                <w:rFonts w:asciiTheme="majorBidi" w:hAnsiTheme="majorBidi" w:cstheme="majorBidi"/>
                <w:lang w:val="ro-MD"/>
              </w:rPr>
              <w:lastRenderedPageBreak/>
              <w:t>concluzionează că această măsură nu era disproporționată. Prin urmare, nu a fost încălcat art. 2 din Protocolul nr. 4. O astfel de concluzie dispensează Curtea, în speță, de obligația de a se pronunța cu privire la validitatea exercitării de către Franța a dreptului de derogare prevăzut la art. 15.</w:t>
            </w:r>
          </w:p>
        </w:tc>
        <w:tc>
          <w:tcPr>
            <w:tcW w:w="1422" w:type="dxa"/>
          </w:tcPr>
          <w:p w14:paraId="380CDDB8" w14:textId="7F048E1B" w:rsidR="0087236C" w:rsidRPr="009C3A85" w:rsidRDefault="0087236C"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Nicio încălcare</w:t>
            </w:r>
          </w:p>
        </w:tc>
      </w:tr>
      <w:tr w:rsidR="00936E9E" w:rsidRPr="002904F1" w14:paraId="0A594D23" w14:textId="77777777" w:rsidTr="00DC3BE4">
        <w:tc>
          <w:tcPr>
            <w:tcW w:w="13837" w:type="dxa"/>
            <w:gridSpan w:val="5"/>
            <w:shd w:val="clear" w:color="auto" w:fill="FFFAF0"/>
          </w:tcPr>
          <w:p w14:paraId="3EC4435E" w14:textId="5C6A16B4" w:rsidR="00936E9E" w:rsidRPr="009C3A85" w:rsidRDefault="00936E9E" w:rsidP="00EF6956">
            <w:pPr>
              <w:pStyle w:val="1"/>
              <w:spacing w:line="276" w:lineRule="auto"/>
              <w:outlineLvl w:val="0"/>
            </w:pPr>
            <w:bookmarkStart w:id="12" w:name="_Toc213590716"/>
            <w:r w:rsidRPr="009C3A85">
              <w:lastRenderedPageBreak/>
              <w:t>Protocolul nr. 7</w:t>
            </w:r>
            <w:r w:rsidR="005E6205" w:rsidRPr="009C3A85">
              <w:t xml:space="preserve"> Articolul 1</w:t>
            </w:r>
            <w:r w:rsidRPr="009C3A85">
              <w:t>. Garanţiile procedurale în cazul expulzărilor de străini</w:t>
            </w:r>
            <w:bookmarkEnd w:id="12"/>
          </w:p>
        </w:tc>
      </w:tr>
      <w:tr w:rsidR="0087236C" w:rsidRPr="002904F1" w14:paraId="4FF9C2AC" w14:textId="77777777" w:rsidTr="0038457E">
        <w:tc>
          <w:tcPr>
            <w:tcW w:w="1345" w:type="dxa"/>
          </w:tcPr>
          <w:p w14:paraId="6EC5F56A" w14:textId="3B64D207" w:rsidR="0087236C" w:rsidRPr="009C3A85" w:rsidRDefault="0087236C" w:rsidP="0087236C">
            <w:pPr>
              <w:spacing w:after="120" w:line="276" w:lineRule="auto"/>
              <w:jc w:val="center"/>
              <w:rPr>
                <w:rFonts w:asciiTheme="majorBidi" w:hAnsiTheme="majorBidi" w:cstheme="majorBidi"/>
                <w:lang w:val="ro-MD"/>
              </w:rPr>
            </w:pPr>
            <w:r w:rsidRPr="009C3A85">
              <w:rPr>
                <w:rFonts w:asciiTheme="majorBidi" w:hAnsiTheme="majorBidi" w:cstheme="majorBidi"/>
                <w:lang w:val="ro-MD"/>
              </w:rPr>
              <w:t>1 P7</w:t>
            </w:r>
          </w:p>
          <w:p w14:paraId="09CB787C" w14:textId="6DE7C037" w:rsidR="0087236C" w:rsidRPr="009C3A85" w:rsidRDefault="0087236C" w:rsidP="0087236C">
            <w:pPr>
              <w:spacing w:after="120" w:line="276" w:lineRule="auto"/>
              <w:jc w:val="center"/>
              <w:rPr>
                <w:rFonts w:asciiTheme="majorBidi" w:hAnsiTheme="majorBidi" w:cstheme="majorBidi"/>
                <w:lang w:val="ro-MD"/>
              </w:rPr>
            </w:pPr>
            <w:r w:rsidRPr="009C3A85">
              <w:rPr>
                <w:rFonts w:asciiTheme="majorBidi" w:hAnsiTheme="majorBidi" w:cstheme="majorBidi"/>
                <w:lang w:val="ro-MD"/>
              </w:rPr>
              <w:t>Garanții procedurale în cazul expulzărilor de străini</w:t>
            </w:r>
          </w:p>
        </w:tc>
        <w:tc>
          <w:tcPr>
            <w:tcW w:w="1260" w:type="dxa"/>
          </w:tcPr>
          <w:p w14:paraId="5DD9D954" w14:textId="6702B0D9"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09.03.2021</w:t>
            </w:r>
            <w:r w:rsidRPr="009C3A85">
              <w:rPr>
                <w:rFonts w:asciiTheme="majorBidi" w:hAnsiTheme="majorBidi" w:cstheme="majorBidi"/>
                <w:lang w:val="ro-MD"/>
              </w:rPr>
              <w:br/>
            </w:r>
            <w:hyperlink r:id="rId26" w:history="1">
              <w:r w:rsidRPr="009C3A85">
                <w:rPr>
                  <w:rStyle w:val="a4"/>
                  <w:rFonts w:asciiTheme="majorBidi" w:hAnsiTheme="majorBidi" w:cstheme="majorBidi"/>
                  <w:lang w:val="ro-MD"/>
                </w:rPr>
                <w:t>Hassine c. României</w:t>
              </w:r>
            </w:hyperlink>
          </w:p>
        </w:tc>
        <w:tc>
          <w:tcPr>
            <w:tcW w:w="2340" w:type="dxa"/>
          </w:tcPr>
          <w:p w14:paraId="097352C5" w14:textId="54DB8D2D" w:rsidR="0087236C" w:rsidRPr="009C3A85" w:rsidRDefault="0087236C" w:rsidP="00EF6956">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Expulzare pronunțată de o instanță pentru rațiuni de securitate națională pe baza unor informații clasificate secrete necomunicate reclamantului și în absența unor garanții compensatorii suficiente; lipsa examinării de către o instanță națională independentă a necesității importantelor restrângeri ale drepturilor procedurale ale reclamantului; nicio informație primită de acesta cu privire la comportamentul său de natură să constituie un risc pentru securitatea națională și la desfășurarea </w:t>
            </w:r>
            <w:r w:rsidRPr="009C3A85">
              <w:rPr>
                <w:rFonts w:asciiTheme="majorBidi" w:hAnsiTheme="majorBidi" w:cstheme="majorBidi"/>
                <w:lang w:val="ro-MD"/>
              </w:rPr>
              <w:lastRenderedPageBreak/>
              <w:t>momentelor cheie ale procedurii; lipsa compensării restrângerilor prin simplul fapt că decizia de expulzare a fost luată de înalte autorități judiciare independente, fără a se putea constata exercitarea concretă a puterilor conferite de legea națională</w:t>
            </w:r>
          </w:p>
        </w:tc>
        <w:tc>
          <w:tcPr>
            <w:tcW w:w="7470" w:type="dxa"/>
          </w:tcPr>
          <w:p w14:paraId="5C122B76" w14:textId="05C60CD3" w:rsidR="0087236C" w:rsidRPr="009C3A85" w:rsidRDefault="00D84F94" w:rsidP="00D84F94">
            <w:pPr>
              <w:spacing w:after="120" w:line="276" w:lineRule="auto"/>
              <w:ind w:left="-14"/>
              <w:jc w:val="both"/>
              <w:rPr>
                <w:rFonts w:asciiTheme="majorBidi" w:hAnsiTheme="majorBidi" w:cstheme="majorBidi"/>
                <w:lang w:val="ro-MD"/>
              </w:rPr>
            </w:pPr>
            <w:r w:rsidRPr="009C3A85">
              <w:rPr>
                <w:rFonts w:asciiTheme="majorBidi" w:hAnsiTheme="majorBidi" w:cstheme="majorBidi"/>
                <w:lang w:val="ro-MD"/>
              </w:rPr>
              <w:lastRenderedPageBreak/>
              <w:t xml:space="preserve">51. </w:t>
            </w:r>
            <w:r w:rsidR="0087236C" w:rsidRPr="009C3A85">
              <w:rPr>
                <w:rFonts w:asciiTheme="majorBidi" w:hAnsiTheme="majorBidi" w:cstheme="majorBidi"/>
                <w:lang w:val="ro-MD"/>
              </w:rPr>
              <w:t>Curtea a apreciat mai întâi că art. 1 din Protocolul nr. 7 impune, în principiu, pe de o parte, ca străinii vizați să fie informați despre elementele factuale relevante care au determinat autoritatea națională competentă să considere că ei reprezintă o amenințare pentru securitatea națională și, pe de altă parte, ca aceștia să aibă acces</w:t>
            </w:r>
            <w:r w:rsidR="00135385" w:rsidRPr="009C3A85">
              <w:rPr>
                <w:rFonts w:asciiTheme="majorBidi" w:hAnsiTheme="majorBidi" w:cstheme="majorBidi"/>
                <w:lang w:val="ro-MD"/>
              </w:rPr>
              <w:t xml:space="preserve"> </w:t>
            </w:r>
            <w:r w:rsidR="0087236C" w:rsidRPr="009C3A85">
              <w:rPr>
                <w:rFonts w:asciiTheme="majorBidi" w:hAnsiTheme="majorBidi" w:cstheme="majorBidi"/>
                <w:lang w:val="ro-MD"/>
              </w:rPr>
              <w:t>la conținutul documentelor și al informațiilor din dosarul cauzei pe care s-a întemeiat respectiva autoritate pentru a decide expulzarea lor.</w:t>
            </w:r>
          </w:p>
          <w:p w14:paraId="75666320" w14:textId="289A24AC" w:rsidR="0087236C" w:rsidRPr="009C3A85" w:rsidRDefault="00D84F94" w:rsidP="00AC1A29">
            <w:pPr>
              <w:spacing w:after="120" w:line="276" w:lineRule="auto"/>
              <w:ind w:left="-14"/>
              <w:jc w:val="both"/>
              <w:rPr>
                <w:rFonts w:asciiTheme="majorBidi" w:hAnsiTheme="majorBidi" w:cstheme="majorBidi"/>
                <w:lang w:val="ro-MD"/>
              </w:rPr>
            </w:pPr>
            <w:r w:rsidRPr="009C3A85">
              <w:rPr>
                <w:rFonts w:asciiTheme="majorBidi" w:hAnsiTheme="majorBidi" w:cstheme="majorBidi"/>
                <w:lang w:val="ro-MD"/>
              </w:rPr>
              <w:t xml:space="preserve">52. </w:t>
            </w:r>
            <w:r w:rsidR="0087236C" w:rsidRPr="009C3A85">
              <w:rPr>
                <w:rFonts w:asciiTheme="majorBidi" w:hAnsiTheme="majorBidi" w:cstheme="majorBidi"/>
                <w:lang w:val="ro-MD"/>
              </w:rPr>
              <w:t>Acceste drepturi care decurg din art. 1 § 1 din Protocolul nr. 7 nu sunt absolute. De aceea, restricțiile aduse drepturilor în cauză nu trebuie să anuleze protecția procedurală asigurată de art. 1 din Protocolul nr. 7 care atinge însuși fondul garanțiilor prevăzute de această dispoziție. Chiar dacă există limitări, trebuie ca străinului să îi fie acordată posibilitatea efectivă de a prezenta motivele care pledează împotriva expulzării sale și acesta să beneficieze de o protecție împotriva arbitrarului.</w:t>
            </w:r>
            <w:r w:rsidRPr="009C3A85">
              <w:rPr>
                <w:rFonts w:asciiTheme="majorBidi" w:hAnsiTheme="majorBidi" w:cstheme="majorBidi"/>
                <w:lang w:val="ro-MD"/>
              </w:rPr>
              <w:t xml:space="preserve"> </w:t>
            </w:r>
            <w:r w:rsidR="0087236C" w:rsidRPr="009C3A85">
              <w:rPr>
                <w:rFonts w:asciiTheme="majorBidi" w:hAnsiTheme="majorBidi" w:cstheme="majorBidi"/>
                <w:lang w:val="ro-MD"/>
              </w:rPr>
              <w:t>Prin urmare, Curtea trebuie să examineze mai întâi dacă autoritatea independentă competentă a considerat că limitările aduse drepturilor procedurale ale străinului se justificau în mod corespunzător în lumina circumstanțelor speței. Aceasta trebuie în continuare să examineze dacă dificultățile cauzate de aceste limitări străinului vizat au fost contrabalansate suficient de factori compensatori. Într-adevăr, din perspectiva art. 1 din</w:t>
            </w:r>
            <w:r w:rsidR="00AC1A29" w:rsidRPr="009C3A85">
              <w:rPr>
                <w:rFonts w:asciiTheme="majorBidi" w:hAnsiTheme="majorBidi" w:cstheme="majorBidi"/>
                <w:lang w:val="ro-MD"/>
              </w:rPr>
              <w:t xml:space="preserve"> </w:t>
            </w:r>
            <w:r w:rsidR="0087236C" w:rsidRPr="009C3A85">
              <w:rPr>
                <w:rFonts w:asciiTheme="majorBidi" w:hAnsiTheme="majorBidi" w:cstheme="majorBidi"/>
                <w:lang w:val="ro-MD"/>
              </w:rPr>
              <w:t>Protocolul nr. 7, sunt admisibile numai restricțiile care, ținând seama de circumstanțele cauzei, sunt justificate corespunzător și contrabalansate suficient.</w:t>
            </w:r>
          </w:p>
          <w:p w14:paraId="73F5BD94" w14:textId="42CECA91" w:rsidR="0087236C" w:rsidRPr="009C3A85" w:rsidRDefault="00AC1A29" w:rsidP="00D84F94">
            <w:pPr>
              <w:spacing w:after="120" w:line="276" w:lineRule="auto"/>
              <w:ind w:left="-14"/>
              <w:jc w:val="both"/>
              <w:rPr>
                <w:rFonts w:asciiTheme="majorBidi" w:hAnsiTheme="majorBidi" w:cstheme="majorBidi"/>
                <w:lang w:val="ro-MD"/>
              </w:rPr>
            </w:pPr>
            <w:r w:rsidRPr="009C3A85">
              <w:rPr>
                <w:rFonts w:asciiTheme="majorBidi" w:hAnsiTheme="majorBidi" w:cstheme="majorBidi"/>
                <w:lang w:val="ro-MD"/>
              </w:rPr>
              <w:t xml:space="preserve">53. </w:t>
            </w:r>
            <w:r w:rsidR="0087236C" w:rsidRPr="009C3A85">
              <w:rPr>
                <w:rFonts w:asciiTheme="majorBidi" w:hAnsiTheme="majorBidi" w:cstheme="majorBidi"/>
                <w:lang w:val="ro-MD"/>
              </w:rPr>
              <w:t xml:space="preserve">Cu cât autoritățile naționale vor fi mai puțin riguroase în examinarea necesității de a restrânge drepturile procedurale ale străinilor vizați, cu atât mai strict va trebui să fie controlul său asupra elementelor compensatorii instituite pentru a contrabalansa limitarea drepturilor în cauză. În aprecierea sa, Curtea se ghidează </w:t>
            </w:r>
            <w:r w:rsidR="0087236C" w:rsidRPr="009C3A85">
              <w:rPr>
                <w:rFonts w:asciiTheme="majorBidi" w:hAnsiTheme="majorBidi" w:cstheme="majorBidi"/>
                <w:lang w:val="ro-MD"/>
              </w:rPr>
              <w:lastRenderedPageBreak/>
              <w:t>după două principii de bază: cu cât sunt mai limitate informațiile oferite străinului vizat, cu atât garanțiile instituite pentru a contrabalansa limitarea drepturilor sale procedurale trebuie să fie mai importante; atunci când circumstanțele unei cauze au o miză deosebit de importantă pentru străinul în chestiune, garanțiile compensatorii trebuie să fie și mai consolidate.</w:t>
            </w:r>
          </w:p>
          <w:p w14:paraId="283B0E95" w14:textId="5F4AE0F4" w:rsidR="0087236C" w:rsidRPr="009C3A85" w:rsidRDefault="006C66AE" w:rsidP="00D84F94">
            <w:pPr>
              <w:spacing w:after="120" w:line="276" w:lineRule="auto"/>
              <w:ind w:left="-14"/>
              <w:jc w:val="both"/>
              <w:rPr>
                <w:rFonts w:asciiTheme="majorBidi" w:hAnsiTheme="majorBidi" w:cstheme="majorBidi"/>
                <w:lang w:val="ro-MD"/>
              </w:rPr>
            </w:pPr>
            <w:r w:rsidRPr="009C3A85">
              <w:rPr>
                <w:rFonts w:asciiTheme="majorBidi" w:hAnsiTheme="majorBidi" w:cstheme="majorBidi"/>
                <w:lang w:val="ro-MD"/>
              </w:rPr>
              <w:t xml:space="preserve">67. </w:t>
            </w:r>
            <w:r w:rsidR="0087236C" w:rsidRPr="009C3A85">
              <w:rPr>
                <w:rFonts w:asciiTheme="majorBidi" w:hAnsiTheme="majorBidi" w:cstheme="majorBidi"/>
                <w:lang w:val="ro-MD"/>
              </w:rPr>
              <w:t>În speță drepturile procedurale ale reclamantului au suferit restrângeri importante fără ca necesitatea acestor limitări să fi fost examinată și judecată în mod corespunzător de o autoritate independentă la nivel național. Reține și faptul că reclamantul nu a primit nicio informație cu privire la comportamentul său concret de natură să constituie un risc pentru securitatea națională și la desfășurarea momentelor cheie ale procedurii. Cu privire la întinderea controlului efectuat, Curtea consideră că numai faptul că decizia de expulzare a fost luată de înalte autorități judiciare independente, fără a se putea constata exercitarea concretă a puterilor conferite de legea românească, nu este de natură să poată compensa restricțiile suferite de persoana în cauză în exercitarea drepturilor sale procedurale.</w:t>
            </w:r>
          </w:p>
        </w:tc>
        <w:tc>
          <w:tcPr>
            <w:tcW w:w="1422" w:type="dxa"/>
          </w:tcPr>
          <w:p w14:paraId="34803C46" w14:textId="77777777" w:rsidR="0087236C" w:rsidRPr="009C3A85" w:rsidRDefault="0087236C"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5 000 EUR (moral)</w:t>
            </w:r>
          </w:p>
          <w:p w14:paraId="7CAB3AC0" w14:textId="0D775174" w:rsidR="0087236C" w:rsidRPr="009C3A85" w:rsidRDefault="0087236C" w:rsidP="00EF6956">
            <w:pPr>
              <w:spacing w:after="120" w:line="276" w:lineRule="auto"/>
              <w:rPr>
                <w:rFonts w:asciiTheme="majorBidi" w:hAnsiTheme="majorBidi" w:cstheme="majorBidi"/>
                <w:lang w:val="ro-MD"/>
              </w:rPr>
            </w:pPr>
            <w:r w:rsidRPr="009C3A85">
              <w:rPr>
                <w:rFonts w:asciiTheme="majorBidi" w:hAnsiTheme="majorBidi" w:cstheme="majorBidi"/>
                <w:lang w:val="ro-MD"/>
              </w:rPr>
              <w:t>3 500 EUR (chelt. de jud.)</w:t>
            </w:r>
          </w:p>
        </w:tc>
      </w:tr>
      <w:tr w:rsidR="00936E9E" w:rsidRPr="002904F1" w14:paraId="4896E75E" w14:textId="77777777" w:rsidTr="00DC3BE4">
        <w:tc>
          <w:tcPr>
            <w:tcW w:w="13837" w:type="dxa"/>
            <w:gridSpan w:val="5"/>
            <w:shd w:val="clear" w:color="auto" w:fill="FFFFF0"/>
          </w:tcPr>
          <w:p w14:paraId="116AC868" w14:textId="53AB5AAC" w:rsidR="00936E9E" w:rsidRPr="009C3A85" w:rsidRDefault="00936E9E" w:rsidP="00EF6956">
            <w:pPr>
              <w:pStyle w:val="1"/>
              <w:spacing w:line="276" w:lineRule="auto"/>
              <w:outlineLvl w:val="0"/>
            </w:pPr>
            <w:bookmarkStart w:id="13" w:name="_Toc213590717"/>
            <w:r w:rsidRPr="009C3A85">
              <w:t>Protocolul nr. 7</w:t>
            </w:r>
            <w:r w:rsidR="005E6205" w:rsidRPr="009C3A85">
              <w:t xml:space="preserve"> Articolul 2</w:t>
            </w:r>
            <w:r w:rsidRPr="009C3A85">
              <w:t>. Dreptul la două grade de jurisdicţie în materie penală</w:t>
            </w:r>
            <w:bookmarkEnd w:id="13"/>
          </w:p>
        </w:tc>
      </w:tr>
      <w:tr w:rsidR="0087236C" w:rsidRPr="009C3A85" w14:paraId="7F8C630D" w14:textId="77777777" w:rsidTr="0038457E">
        <w:tc>
          <w:tcPr>
            <w:tcW w:w="1345" w:type="dxa"/>
          </w:tcPr>
          <w:p w14:paraId="44C34688" w14:textId="77777777"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2 P7</w:t>
            </w:r>
          </w:p>
          <w:p w14:paraId="4876F0C8" w14:textId="07D8F335" w:rsidR="00EE71D2" w:rsidRPr="009C3A85" w:rsidRDefault="00EE71D2"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Revizuirea condamnării</w:t>
            </w:r>
          </w:p>
        </w:tc>
        <w:tc>
          <w:tcPr>
            <w:tcW w:w="1260" w:type="dxa"/>
          </w:tcPr>
          <w:p w14:paraId="160009B2" w14:textId="23EE60FC" w:rsidR="0087236C" w:rsidRPr="009C3A85" w:rsidRDefault="0087236C"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20.07.2021</w:t>
            </w:r>
            <w:r w:rsidRPr="009C3A85">
              <w:rPr>
                <w:rFonts w:asciiTheme="majorBidi" w:hAnsiTheme="majorBidi" w:cstheme="majorBidi"/>
                <w:lang w:val="ro-MD"/>
              </w:rPr>
              <w:br/>
            </w:r>
            <w:hyperlink r:id="rId27" w:history="1">
              <w:r w:rsidRPr="009C3A85">
                <w:rPr>
                  <w:rStyle w:val="a4"/>
                  <w:rFonts w:asciiTheme="majorBidi" w:hAnsiTheme="majorBidi" w:cstheme="majorBidi"/>
                  <w:lang w:val="ro-MD"/>
                </w:rPr>
                <w:t>Y.B. c. Federației Ruse</w:t>
              </w:r>
            </w:hyperlink>
          </w:p>
        </w:tc>
        <w:tc>
          <w:tcPr>
            <w:tcW w:w="2340" w:type="dxa"/>
          </w:tcPr>
          <w:p w14:paraId="1A809E66" w14:textId="53BC9BEA" w:rsidR="0087236C" w:rsidRPr="009C3A85" w:rsidRDefault="00EE71D2" w:rsidP="00EF6956">
            <w:pPr>
              <w:spacing w:after="120" w:line="276" w:lineRule="auto"/>
              <w:rPr>
                <w:rFonts w:asciiTheme="majorBidi" w:hAnsiTheme="majorBidi" w:cstheme="majorBidi"/>
                <w:lang w:val="ro-MD"/>
              </w:rPr>
            </w:pPr>
            <w:r w:rsidRPr="009C3A85">
              <w:rPr>
                <w:rFonts w:asciiTheme="majorBidi" w:hAnsiTheme="majorBidi" w:cstheme="majorBidi"/>
                <w:lang w:val="ro-MD"/>
              </w:rPr>
              <w:t>Reclamantul</w:t>
            </w:r>
            <w:r w:rsidR="0087236C" w:rsidRPr="009C3A85">
              <w:rPr>
                <w:rFonts w:asciiTheme="majorBidi" w:hAnsiTheme="majorBidi" w:cstheme="majorBidi"/>
                <w:lang w:val="ro-MD"/>
              </w:rPr>
              <w:t xml:space="preserve"> a fost privat de posibilitatea de a beneficia de o audiere, chiar și în absența sa, cu privire la cererea de restabilire a termenului de apel împotriva  condamnării sale în lipsă, astfel cum prevede legislația națională</w:t>
            </w:r>
          </w:p>
        </w:tc>
        <w:tc>
          <w:tcPr>
            <w:tcW w:w="7470" w:type="dxa"/>
          </w:tcPr>
          <w:p w14:paraId="48980B46" w14:textId="4210DB85" w:rsidR="003D4411" w:rsidRPr="009C3A85" w:rsidRDefault="00EF67A6" w:rsidP="003D4411">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43. [...] </w:t>
            </w:r>
            <w:r w:rsidR="003D4411" w:rsidRPr="009C3A85">
              <w:rPr>
                <w:rFonts w:asciiTheme="majorBidi" w:hAnsiTheme="majorBidi" w:cstheme="majorBidi"/>
                <w:lang w:val="ro-MD"/>
              </w:rPr>
              <w:t>Curtea observă că reclamantul a ales a treia opțiune. Acesta a decis să depună o cerere de repunere în termen pentru declararea apelului, fără a se prezenta fizic în fața instanței. Ca răspuns, președintele Judecătoriei a refuzat să examineze cererea reclamantului, menționând, într-o scrisoare neprocedurală, că o condamnare pronunțată în lipsă nu este susceptibilă de apel. Nu a avut loc nicio ședință. De asemenea, președintele nu a emis o hotărâre motivată în această privință, așa cum prevede legea.</w:t>
            </w:r>
          </w:p>
          <w:p w14:paraId="5DBC2995" w14:textId="79B3E47A" w:rsidR="003D4411" w:rsidRPr="009C3A85" w:rsidRDefault="003D4411" w:rsidP="003D4411">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44. În acest context, Curtea reiterează că este de o importanță capitală ca un inculpat să se prezinte personal în cadrul procedurilor penale, iar legiuitorul trebuie, în consecință, să poată descuraja absențele nejustificate. Cu toate acestea, Curtea nu pierde din vedere faptul că legislația națională prevede în mod clar dreptul de a solicita repunerea în termen pentru declararea apelului împotriva unei condamnări pronunțate în lipsă și nu impune prezența fizică a reclamantului pentru examinarea </w:t>
            </w:r>
            <w:r w:rsidRPr="009C3A85">
              <w:rPr>
                <w:rFonts w:asciiTheme="majorBidi" w:hAnsiTheme="majorBidi" w:cstheme="majorBidi"/>
                <w:lang w:val="ro-MD"/>
              </w:rPr>
              <w:lastRenderedPageBreak/>
              <w:t>unei astfel de cereri, indiferent de obligația inculpatului de a fi, în cele din urmă, prezent fizic la judecarea fondului acuzațiilor aduse împotriva sa, odată ce termenul pentru apel a fost repus.</w:t>
            </w:r>
          </w:p>
          <w:p w14:paraId="53497363" w14:textId="16942075" w:rsidR="0087236C" w:rsidRPr="009C3A85" w:rsidRDefault="003D4411" w:rsidP="003D4411">
            <w:pPr>
              <w:spacing w:after="120" w:line="276" w:lineRule="auto"/>
              <w:jc w:val="both"/>
              <w:rPr>
                <w:rFonts w:asciiTheme="majorBidi" w:hAnsiTheme="majorBidi" w:cstheme="majorBidi"/>
                <w:lang w:val="ro-MD"/>
              </w:rPr>
            </w:pPr>
            <w:r w:rsidRPr="009C3A85">
              <w:rPr>
                <w:rFonts w:asciiTheme="majorBidi" w:hAnsiTheme="majorBidi" w:cstheme="majorBidi"/>
                <w:lang w:val="ro-MD"/>
              </w:rPr>
              <w:t>45. Întrucât reclamantul a fost lipsit de posibilitatea de a beneficia de o ședință – chiar și în absența sa – privind cererea de repunere în termen pentru apel, se pare că respingerea acestei cereri l-a privat de posibilitatea de a-și exercita efectiv acest drept. Prin urmare, a avut loc o încălcare a articolului 2 din Protocolul nr. 7 la Convenție.</w:t>
            </w:r>
          </w:p>
        </w:tc>
        <w:tc>
          <w:tcPr>
            <w:tcW w:w="1422" w:type="dxa"/>
          </w:tcPr>
          <w:p w14:paraId="43DC8FFB" w14:textId="5540F37A" w:rsidR="0087236C" w:rsidRPr="009C3A85" w:rsidRDefault="00E95D13"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Constatarea încălcării - satisfacție echitabilă</w:t>
            </w:r>
          </w:p>
        </w:tc>
      </w:tr>
      <w:tr w:rsidR="00936E9E" w:rsidRPr="002904F1" w14:paraId="7087611F" w14:textId="77777777" w:rsidTr="00DC3BE4">
        <w:tc>
          <w:tcPr>
            <w:tcW w:w="13837" w:type="dxa"/>
            <w:gridSpan w:val="5"/>
            <w:shd w:val="clear" w:color="auto" w:fill="FFF0F5"/>
          </w:tcPr>
          <w:p w14:paraId="3AEB50CB" w14:textId="4992A95C" w:rsidR="004312CE" w:rsidRPr="009C3A85" w:rsidRDefault="00936E9E" w:rsidP="00EF6956">
            <w:pPr>
              <w:pStyle w:val="1"/>
              <w:spacing w:line="276" w:lineRule="auto"/>
              <w:outlineLvl w:val="0"/>
            </w:pPr>
            <w:bookmarkStart w:id="14" w:name="_Toc213590718"/>
            <w:r w:rsidRPr="009C3A85">
              <w:t>Protocolul nr. 12</w:t>
            </w:r>
            <w:r w:rsidR="005E6205" w:rsidRPr="009C3A85">
              <w:t xml:space="preserve"> Articolul 1</w:t>
            </w:r>
            <w:r w:rsidRPr="009C3A85">
              <w:t>. Interzicerea generală a discriminării</w:t>
            </w:r>
            <w:bookmarkEnd w:id="14"/>
          </w:p>
        </w:tc>
      </w:tr>
      <w:tr w:rsidR="00B92DC1" w:rsidRPr="002904F1" w14:paraId="65CF6210" w14:textId="77777777" w:rsidTr="0038457E">
        <w:tc>
          <w:tcPr>
            <w:tcW w:w="1345" w:type="dxa"/>
          </w:tcPr>
          <w:p w14:paraId="4D38193B" w14:textId="7C2CCB97" w:rsidR="00B92DC1" w:rsidRPr="009C3A85" w:rsidRDefault="00B92DC1"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1 P12</w:t>
            </w:r>
          </w:p>
          <w:p w14:paraId="64C3B8A4" w14:textId="357E66BC" w:rsidR="00B92DC1" w:rsidRPr="009C3A85" w:rsidRDefault="00B92DC1"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Interzicerea discriminării</w:t>
            </w:r>
          </w:p>
        </w:tc>
        <w:tc>
          <w:tcPr>
            <w:tcW w:w="1260" w:type="dxa"/>
          </w:tcPr>
          <w:p w14:paraId="438F49EA" w14:textId="2B5C9CF0" w:rsidR="00B92DC1" w:rsidRPr="009C3A85" w:rsidRDefault="00B92DC1" w:rsidP="00EF6956">
            <w:pPr>
              <w:spacing w:after="120" w:line="276" w:lineRule="auto"/>
              <w:jc w:val="center"/>
              <w:rPr>
                <w:rFonts w:asciiTheme="majorBidi" w:hAnsiTheme="majorBidi" w:cstheme="majorBidi"/>
                <w:lang w:val="ro-MD"/>
              </w:rPr>
            </w:pPr>
            <w:r w:rsidRPr="009C3A85">
              <w:rPr>
                <w:rFonts w:asciiTheme="majorBidi" w:hAnsiTheme="majorBidi" w:cstheme="majorBidi"/>
                <w:lang w:val="ro-MD"/>
              </w:rPr>
              <w:t>20.12.2022</w:t>
            </w:r>
            <w:r w:rsidRPr="009C3A85">
              <w:rPr>
                <w:rFonts w:asciiTheme="majorBidi" w:hAnsiTheme="majorBidi" w:cstheme="majorBidi"/>
                <w:lang w:val="ro-MD"/>
              </w:rPr>
              <w:br/>
            </w:r>
            <w:hyperlink r:id="rId28" w:history="1">
              <w:r w:rsidRPr="009C3A85">
                <w:rPr>
                  <w:rStyle w:val="a4"/>
                  <w:rFonts w:asciiTheme="majorBidi" w:hAnsiTheme="majorBidi" w:cstheme="majorBidi"/>
                  <w:lang w:val="ro-MD"/>
                </w:rPr>
                <w:t>Moraru și Marin c. României</w:t>
              </w:r>
            </w:hyperlink>
          </w:p>
        </w:tc>
        <w:tc>
          <w:tcPr>
            <w:tcW w:w="2340" w:type="dxa"/>
          </w:tcPr>
          <w:p w14:paraId="6B1363C8" w14:textId="3388659B" w:rsidR="00B92DC1" w:rsidRPr="009C3A85" w:rsidRDefault="00B92DC1" w:rsidP="00EF6956">
            <w:pPr>
              <w:spacing w:after="120" w:line="276" w:lineRule="auto"/>
              <w:jc w:val="both"/>
              <w:rPr>
                <w:rFonts w:asciiTheme="majorBidi" w:hAnsiTheme="majorBidi" w:cstheme="majorBidi"/>
                <w:lang w:val="ro-MD"/>
              </w:rPr>
            </w:pPr>
            <w:r w:rsidRPr="009C3A85">
              <w:rPr>
                <w:rFonts w:asciiTheme="majorBidi" w:hAnsiTheme="majorBidi" w:cstheme="majorBidi"/>
                <w:lang w:val="ro-MD"/>
              </w:rPr>
              <w:t xml:space="preserve">Imposibilitatea ca două funcționare publice care au atins vârsta de pensionare stabilită pentru femei să continue să lucreze până la atingerea vârstei de pensionare mai mare stabilită pentru bărbați; normă generală privind încetarea de drept a raportului de muncă sau de serviciu al femeilor la o vârstă mai redusă decât cea a bărbaților care constituie discriminare pe criterii de sex și care perpetuează stereotipuri dăunătoare; absența unei justificări </w:t>
            </w:r>
            <w:r w:rsidRPr="009C3A85">
              <w:rPr>
                <w:rFonts w:asciiTheme="majorBidi" w:hAnsiTheme="majorBidi" w:cstheme="majorBidi"/>
                <w:lang w:val="ro-MD"/>
              </w:rPr>
              <w:lastRenderedPageBreak/>
              <w:t>rezonabile sau obiective pentru măsura contestată; marjă de apreciere îngustă</w:t>
            </w:r>
          </w:p>
        </w:tc>
        <w:tc>
          <w:tcPr>
            <w:tcW w:w="7470" w:type="dxa"/>
          </w:tcPr>
          <w:p w14:paraId="34633B4D" w14:textId="7343E8D5" w:rsidR="00B92DC1" w:rsidRPr="009C3A85" w:rsidRDefault="00B03F4E" w:rsidP="00D809A0">
            <w:pPr>
              <w:spacing w:after="120" w:line="276" w:lineRule="auto"/>
              <w:ind w:left="-14"/>
              <w:jc w:val="both"/>
              <w:rPr>
                <w:rFonts w:asciiTheme="majorBidi" w:hAnsiTheme="majorBidi" w:cstheme="majorBidi"/>
                <w:lang w:val="ro-MD"/>
              </w:rPr>
            </w:pPr>
            <w:r w:rsidRPr="009C3A85">
              <w:rPr>
                <w:rFonts w:asciiTheme="majorBidi" w:hAnsiTheme="majorBidi" w:cstheme="majorBidi"/>
                <w:lang w:val="ro-MD"/>
              </w:rPr>
              <w:lastRenderedPageBreak/>
              <w:t>115. [</w:t>
            </w:r>
            <w:r w:rsidR="00B92DC1" w:rsidRPr="009C3A85">
              <w:rPr>
                <w:rFonts w:asciiTheme="majorBidi" w:hAnsiTheme="majorBidi" w:cstheme="majorBidi"/>
                <w:lang w:val="ro-MD"/>
              </w:rPr>
              <w:t>C</w:t>
            </w:r>
            <w:r w:rsidRPr="009C3A85">
              <w:rPr>
                <w:rFonts w:asciiTheme="majorBidi" w:hAnsiTheme="majorBidi" w:cstheme="majorBidi"/>
                <w:lang w:val="ro-MD"/>
              </w:rPr>
              <w:t>]</w:t>
            </w:r>
            <w:r w:rsidR="00B92DC1" w:rsidRPr="009C3A85">
              <w:rPr>
                <w:rFonts w:asciiTheme="majorBidi" w:hAnsiTheme="majorBidi" w:cstheme="majorBidi"/>
                <w:lang w:val="ro-MD"/>
              </w:rPr>
              <w:t>urtea este conștientă de faptul că prezenta cauză privește domeniul protecției sociale, care constituie un sistem complex în care trebuie păstrat un echilibru, și că, prin urmare, statului i se acordă de obicei o marjă semnificativă cu privire la măsurile generale de strategie economică sau socială. În acest context, Curtea a acceptat deja că orice ajustări ale sistemelor de pensii trebuie să se efectueze în mod gradual, precaut și cu măsură, deoarece orice altă abordare ar putea pune în pericol pacea socială, previzibilitatea sistemului de pensii și securitatea juridică.</w:t>
            </w:r>
          </w:p>
          <w:p w14:paraId="42A5BCEB" w14:textId="22990F84" w:rsidR="00B92DC1" w:rsidRPr="009C3A85" w:rsidRDefault="001922A2" w:rsidP="00D809A0">
            <w:pPr>
              <w:spacing w:after="120" w:line="276" w:lineRule="auto"/>
              <w:ind w:left="-14"/>
              <w:jc w:val="both"/>
              <w:rPr>
                <w:rFonts w:asciiTheme="majorBidi" w:hAnsiTheme="majorBidi" w:cstheme="majorBidi"/>
                <w:lang w:val="ro-MD"/>
              </w:rPr>
            </w:pPr>
            <w:r w:rsidRPr="009C3A85">
              <w:rPr>
                <w:rFonts w:asciiTheme="majorBidi" w:hAnsiTheme="majorBidi" w:cstheme="majorBidi"/>
                <w:lang w:val="ro-MD"/>
              </w:rPr>
              <w:t xml:space="preserve">116. </w:t>
            </w:r>
            <w:r w:rsidR="00B92DC1" w:rsidRPr="009C3A85">
              <w:rPr>
                <w:rFonts w:asciiTheme="majorBidi" w:hAnsiTheme="majorBidi" w:cstheme="majorBidi"/>
                <w:lang w:val="ro-MD"/>
              </w:rPr>
              <w:t>Totuși, Curtea trebuie să reitereze că motive imperative ar trebui prezentate înainte ca aceasta să poată considera că o diferență de tratament pe criterii de sex este compatibilă cu Convenția și că marja de apreciere lăsată la latitudinea statelor pentru a justifica diferența este îngustă.</w:t>
            </w:r>
          </w:p>
          <w:p w14:paraId="20B0C9DD" w14:textId="44AAD72F" w:rsidR="00B92DC1" w:rsidRPr="009C3A85" w:rsidRDefault="001922A2" w:rsidP="00D809A0">
            <w:pPr>
              <w:spacing w:after="120" w:line="276" w:lineRule="auto"/>
              <w:ind w:left="-14"/>
              <w:jc w:val="both"/>
              <w:rPr>
                <w:rFonts w:asciiTheme="majorBidi" w:hAnsiTheme="majorBidi" w:cstheme="majorBidi"/>
                <w:lang w:val="ro-MD"/>
              </w:rPr>
            </w:pPr>
            <w:r w:rsidRPr="009C3A85">
              <w:rPr>
                <w:rFonts w:asciiTheme="majorBidi" w:hAnsiTheme="majorBidi" w:cstheme="majorBidi"/>
                <w:lang w:val="ro-MD"/>
              </w:rPr>
              <w:t>118. [p]</w:t>
            </w:r>
            <w:r w:rsidR="00B92DC1" w:rsidRPr="009C3A85">
              <w:rPr>
                <w:rFonts w:asciiTheme="majorBidi" w:hAnsiTheme="majorBidi" w:cstheme="majorBidi"/>
                <w:lang w:val="ro-MD"/>
              </w:rPr>
              <w:t>rin instituirea și menținerea unei norme generale privind încetarea de drept a raporturilor de muncă ale femeilor la o vârstă mai mică decât cea stabilită pentru bărbați cu posibilitatea a doar câteva excepții introduse prin Legea nr. 156/2018, legiuitorul perpetuează un stereotip privind rolurile de gen și tratează femeile ca pe un grup omogen lipsit de capacitatea de a acționa, unul ale cărui situații personale sau dorințe privind viața profesională și dezvoltarea carierei, precum și alinierea lor cu cele ale bărbaților sunt complet neluate în considerare.</w:t>
            </w:r>
          </w:p>
          <w:p w14:paraId="3C18B4EC" w14:textId="4E1D56C7" w:rsidR="00B92DC1" w:rsidRPr="009C3A85" w:rsidRDefault="00401DFB" w:rsidP="00D809A0">
            <w:pPr>
              <w:spacing w:after="120" w:line="276" w:lineRule="auto"/>
              <w:ind w:left="-14"/>
              <w:jc w:val="both"/>
              <w:rPr>
                <w:rFonts w:asciiTheme="majorBidi" w:hAnsiTheme="majorBidi" w:cstheme="majorBidi"/>
                <w:lang w:val="ro-MD"/>
              </w:rPr>
            </w:pPr>
            <w:r w:rsidRPr="009C3A85">
              <w:rPr>
                <w:rFonts w:asciiTheme="majorBidi" w:hAnsiTheme="majorBidi" w:cstheme="majorBidi"/>
                <w:lang w:val="ro-MD"/>
              </w:rPr>
              <w:lastRenderedPageBreak/>
              <w:t xml:space="preserve">120. </w:t>
            </w:r>
            <w:r w:rsidR="00B92DC1" w:rsidRPr="009C3A85">
              <w:rPr>
                <w:rFonts w:asciiTheme="majorBidi" w:hAnsiTheme="majorBidi" w:cstheme="majorBidi"/>
                <w:lang w:val="ro-MD"/>
              </w:rPr>
              <w:t xml:space="preserve">Mai mult, Curtea consideră că este relevant că Guvernul nu a susținut că măsura urmărită de reclamante ar implica costuri semnificative pentru societate sau o modificare sistemică a sistemului de pensii de la momentul respectiv. </w:t>
            </w:r>
          </w:p>
          <w:p w14:paraId="61E7DE53" w14:textId="37FB004C" w:rsidR="00B92DC1" w:rsidRPr="009C3A85" w:rsidRDefault="00AE6A45" w:rsidP="00D809A0">
            <w:pPr>
              <w:spacing w:after="120" w:line="276" w:lineRule="auto"/>
              <w:ind w:left="-14"/>
              <w:jc w:val="both"/>
              <w:rPr>
                <w:rFonts w:asciiTheme="majorBidi" w:hAnsiTheme="majorBidi" w:cstheme="majorBidi"/>
                <w:lang w:val="ro-MD"/>
              </w:rPr>
            </w:pPr>
            <w:r w:rsidRPr="009C3A85">
              <w:rPr>
                <w:rFonts w:asciiTheme="majorBidi" w:hAnsiTheme="majorBidi" w:cstheme="majorBidi"/>
                <w:lang w:val="ro-MD"/>
              </w:rPr>
              <w:t>121.</w:t>
            </w:r>
            <w:r w:rsidR="007A4DAB" w:rsidRPr="009C3A85">
              <w:rPr>
                <w:rFonts w:asciiTheme="majorBidi" w:hAnsiTheme="majorBidi" w:cstheme="majorBidi"/>
                <w:lang w:val="ro-MD"/>
              </w:rPr>
              <w:t xml:space="preserve"> </w:t>
            </w:r>
            <w:r w:rsidR="00B92DC1" w:rsidRPr="009C3A85">
              <w:rPr>
                <w:rFonts w:asciiTheme="majorBidi" w:hAnsiTheme="majorBidi" w:cstheme="majorBidi"/>
                <w:lang w:val="ro-MD"/>
              </w:rPr>
              <w:t>Prin urmare, argumentele invocate de Guvern pentru a justifica interdicția ca reclamantele să lucreze în continuare după vârsta de pensionare pentru femei sunt așadar necoerente sau neconvingătoare, și în consecință nu pot fi considerate ca reprezentând o justificare rezonabilă sau obiectivă pentru măsura în cauză.</w:t>
            </w:r>
          </w:p>
        </w:tc>
        <w:tc>
          <w:tcPr>
            <w:tcW w:w="1422" w:type="dxa"/>
          </w:tcPr>
          <w:p w14:paraId="11643476" w14:textId="2937B0CC" w:rsidR="00B92DC1" w:rsidRPr="009C3A85" w:rsidRDefault="00B92DC1" w:rsidP="00EF6956">
            <w:pPr>
              <w:spacing w:after="120" w:line="276" w:lineRule="auto"/>
              <w:rPr>
                <w:rFonts w:asciiTheme="majorBidi" w:hAnsiTheme="majorBidi" w:cstheme="majorBidi"/>
                <w:lang w:val="ro-MD"/>
              </w:rPr>
            </w:pPr>
            <w:r w:rsidRPr="009C3A85">
              <w:rPr>
                <w:rFonts w:asciiTheme="majorBidi" w:hAnsiTheme="majorBidi" w:cstheme="majorBidi"/>
                <w:lang w:val="ro-MD"/>
              </w:rPr>
              <w:lastRenderedPageBreak/>
              <w:t>Prima reclamantă:</w:t>
            </w:r>
          </w:p>
          <w:p w14:paraId="440514CE" w14:textId="352CC3E7" w:rsidR="00B92DC1" w:rsidRPr="009C3A85" w:rsidRDefault="00B92DC1" w:rsidP="00EF6956">
            <w:pPr>
              <w:spacing w:after="120" w:line="276" w:lineRule="auto"/>
              <w:rPr>
                <w:rFonts w:asciiTheme="majorBidi" w:hAnsiTheme="majorBidi" w:cstheme="majorBidi"/>
                <w:lang w:val="ro-MD"/>
              </w:rPr>
            </w:pPr>
            <w:r w:rsidRPr="009C3A85">
              <w:rPr>
                <w:rFonts w:asciiTheme="majorBidi" w:hAnsiTheme="majorBidi" w:cstheme="majorBidi"/>
                <w:lang w:val="ro-MD"/>
              </w:rPr>
              <w:t>7 500 EUR (moral)</w:t>
            </w:r>
          </w:p>
          <w:p w14:paraId="3BDE9E39" w14:textId="3E7CDF3E" w:rsidR="00B92DC1" w:rsidRPr="009C3A85" w:rsidRDefault="00B92DC1" w:rsidP="00EF6956">
            <w:pPr>
              <w:spacing w:after="120" w:line="276" w:lineRule="auto"/>
              <w:rPr>
                <w:rFonts w:asciiTheme="majorBidi" w:hAnsiTheme="majorBidi" w:cstheme="majorBidi"/>
                <w:lang w:val="ro-MD"/>
              </w:rPr>
            </w:pPr>
            <w:r w:rsidRPr="009C3A85">
              <w:rPr>
                <w:rFonts w:asciiTheme="majorBidi" w:hAnsiTheme="majorBidi" w:cstheme="majorBidi"/>
                <w:lang w:val="ro-MD"/>
              </w:rPr>
              <w:t>400 EUR (chelt. de jud.)</w:t>
            </w:r>
          </w:p>
          <w:p w14:paraId="0AFCE721" w14:textId="34715BD7" w:rsidR="00B92DC1" w:rsidRPr="009C3A85" w:rsidRDefault="00B92DC1" w:rsidP="00EF6956">
            <w:pPr>
              <w:spacing w:after="120" w:line="276" w:lineRule="auto"/>
              <w:rPr>
                <w:rFonts w:asciiTheme="majorBidi" w:hAnsiTheme="majorBidi" w:cstheme="majorBidi"/>
                <w:lang w:val="ro-MD"/>
              </w:rPr>
            </w:pPr>
            <w:r w:rsidRPr="009C3A85">
              <w:rPr>
                <w:rFonts w:asciiTheme="majorBidi" w:hAnsiTheme="majorBidi" w:cstheme="majorBidi"/>
                <w:lang w:val="ro-MD"/>
              </w:rPr>
              <w:t>A doua reclamantă:</w:t>
            </w:r>
          </w:p>
          <w:p w14:paraId="1748FAEF" w14:textId="42C0327B" w:rsidR="00B92DC1" w:rsidRPr="009C3A85" w:rsidRDefault="00B92DC1" w:rsidP="00EF6956">
            <w:pPr>
              <w:spacing w:after="120" w:line="276" w:lineRule="auto"/>
              <w:rPr>
                <w:rFonts w:asciiTheme="majorBidi" w:hAnsiTheme="majorBidi" w:cstheme="majorBidi"/>
                <w:lang w:val="ro-MD"/>
              </w:rPr>
            </w:pPr>
            <w:r w:rsidRPr="009C3A85">
              <w:rPr>
                <w:rFonts w:asciiTheme="majorBidi" w:hAnsiTheme="majorBidi" w:cstheme="majorBidi"/>
                <w:lang w:val="ro-MD"/>
              </w:rPr>
              <w:t>1 600 EUR (cost./chelt.)</w:t>
            </w:r>
          </w:p>
        </w:tc>
      </w:tr>
    </w:tbl>
    <w:p w14:paraId="13F44380" w14:textId="20F92099" w:rsidR="00F74893" w:rsidRPr="002904F1" w:rsidRDefault="00F74893" w:rsidP="006F5D91">
      <w:pPr>
        <w:spacing w:before="100" w:beforeAutospacing="1" w:after="100" w:afterAutospacing="1" w:line="240" w:lineRule="auto"/>
        <w:rPr>
          <w:rFonts w:ascii="Times New Roman" w:eastAsia="Times New Roman" w:hAnsi="Times New Roman" w:cs="Times New Roman"/>
          <w:sz w:val="24"/>
          <w:szCs w:val="24"/>
          <w:lang w:val="ro-RO"/>
        </w:rPr>
      </w:pPr>
    </w:p>
    <w:sectPr w:rsidR="00F74893" w:rsidRPr="002904F1" w:rsidSect="00473AE1">
      <w:headerReference w:type="default" r:id="rId29"/>
      <w:footerReference w:type="default" r:id="rId30"/>
      <w:pgSz w:w="16838" w:h="11906" w:orient="landscape"/>
      <w:pgMar w:top="1411" w:right="850" w:bottom="1411" w:left="141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F62F6" w14:textId="77777777" w:rsidR="00456145" w:rsidRDefault="00456145" w:rsidP="00BF3128">
      <w:pPr>
        <w:spacing w:after="0" w:line="240" w:lineRule="auto"/>
      </w:pPr>
      <w:r>
        <w:separator/>
      </w:r>
    </w:p>
  </w:endnote>
  <w:endnote w:type="continuationSeparator" w:id="0">
    <w:p w14:paraId="74948D78" w14:textId="77777777" w:rsidR="00456145" w:rsidRDefault="00456145" w:rsidP="00BF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7F155" w14:textId="38EBA308" w:rsidR="34456AA9" w:rsidRPr="007C6280" w:rsidRDefault="34456AA9" w:rsidP="0062728E">
    <w:pPr>
      <w:pStyle w:val="a7"/>
      <w:jc w:val="center"/>
      <w:rPr>
        <w:rFonts w:asciiTheme="majorBidi" w:eastAsia="Times New Roman" w:hAnsiTheme="majorBidi" w:cstheme="majorBidi"/>
        <w:lang w:val="en-US"/>
      </w:rPr>
    </w:pPr>
    <w:r w:rsidRPr="007C6280">
      <w:rPr>
        <w:rFonts w:asciiTheme="majorBidi" w:eastAsia="Times New Roman" w:hAnsiTheme="majorBidi" w:cstheme="majorBidi"/>
      </w:rPr>
      <w:fldChar w:fldCharType="begin"/>
    </w:r>
    <w:r w:rsidRPr="007C6280">
      <w:rPr>
        <w:rFonts w:asciiTheme="majorBidi" w:hAnsiTheme="majorBidi" w:cstheme="majorBidi"/>
      </w:rPr>
      <w:instrText>PAGE</w:instrText>
    </w:r>
    <w:r w:rsidRPr="007C6280">
      <w:rPr>
        <w:rFonts w:asciiTheme="majorBidi" w:hAnsiTheme="majorBidi" w:cstheme="majorBidi"/>
      </w:rPr>
      <w:fldChar w:fldCharType="separate"/>
    </w:r>
    <w:r w:rsidR="00C67CDC">
      <w:rPr>
        <w:rFonts w:asciiTheme="majorBidi" w:hAnsiTheme="majorBidi" w:cstheme="majorBidi"/>
        <w:noProof/>
      </w:rPr>
      <w:t>4</w:t>
    </w:r>
    <w:r w:rsidRPr="007C6280">
      <w:rPr>
        <w:rFonts w:asciiTheme="majorBidi" w:eastAsia="Times New Roman" w:hAnsiTheme="majorBidi" w:cstheme="majorBidi"/>
      </w:rPr>
      <w:fldChar w:fldCharType="end"/>
    </w:r>
  </w:p>
  <w:p w14:paraId="116E73B7" w14:textId="76C583C6" w:rsidR="00F74893" w:rsidRPr="00E30FCE" w:rsidRDefault="00F74893" w:rsidP="34456AA9">
    <w:pPr>
      <w:pStyle w:val="a7"/>
      <w:jc w:val="right"/>
      <w:rPr>
        <w:rFonts w:asciiTheme="majorBidi" w:eastAsia="Times New Roman" w:hAnsiTheme="majorBidi" w:cstheme="majorBidi"/>
        <w:b/>
        <w:bCs/>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40C70" w14:textId="77777777" w:rsidR="00456145" w:rsidRDefault="00456145" w:rsidP="00BF3128">
      <w:pPr>
        <w:spacing w:after="0" w:line="240" w:lineRule="auto"/>
      </w:pPr>
      <w:r>
        <w:separator/>
      </w:r>
    </w:p>
  </w:footnote>
  <w:footnote w:type="continuationSeparator" w:id="0">
    <w:p w14:paraId="708DD452" w14:textId="77777777" w:rsidR="00456145" w:rsidRDefault="00456145" w:rsidP="00BF31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24D19" w14:textId="79F1B841" w:rsidR="006F09A6" w:rsidRPr="00AA78E7" w:rsidRDefault="006F09A6" w:rsidP="009A3295">
    <w:pPr>
      <w:pStyle w:val="a5"/>
      <w:tabs>
        <w:tab w:val="clear" w:pos="4677"/>
        <w:tab w:val="clear" w:pos="9355"/>
        <w:tab w:val="left" w:pos="11748"/>
      </w:tabs>
      <w:rPr>
        <w:rFonts w:asciiTheme="majorBidi" w:hAnsiTheme="majorBidi" w:cstheme="majorBidi"/>
        <w:sz w:val="24"/>
        <w:szCs w:val="24"/>
        <w:lang w:val="ro-M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E7808"/>
    <w:multiLevelType w:val="multilevel"/>
    <w:tmpl w:val="27843E32"/>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876EAC"/>
    <w:multiLevelType w:val="hybridMultilevel"/>
    <w:tmpl w:val="6EFE9540"/>
    <w:lvl w:ilvl="0" w:tplc="2ED88CE0">
      <w:start w:val="1"/>
      <w:numFmt w:val="bullet"/>
      <w:lvlText w:val="§"/>
      <w:lvlJc w:val="left"/>
      <w:pPr>
        <w:ind w:left="720" w:hanging="360"/>
      </w:pPr>
      <w:rPr>
        <w:rFonts w:asciiTheme="majorBidi" w:hAnsiTheme="majorBidi" w:cstheme="maj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6061019"/>
    <w:multiLevelType w:val="multilevel"/>
    <w:tmpl w:val="9F8A04B4"/>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62"/>
    <w:rsid w:val="00005EFC"/>
    <w:rsid w:val="000115D7"/>
    <w:rsid w:val="00014832"/>
    <w:rsid w:val="000149A7"/>
    <w:rsid w:val="00014EBA"/>
    <w:rsid w:val="00021C1A"/>
    <w:rsid w:val="000246CB"/>
    <w:rsid w:val="00026A34"/>
    <w:rsid w:val="00027967"/>
    <w:rsid w:val="00032BAC"/>
    <w:rsid w:val="00033C46"/>
    <w:rsid w:val="00043B3D"/>
    <w:rsid w:val="00060AF6"/>
    <w:rsid w:val="00066A75"/>
    <w:rsid w:val="00072227"/>
    <w:rsid w:val="00076EB6"/>
    <w:rsid w:val="00082E52"/>
    <w:rsid w:val="000865A0"/>
    <w:rsid w:val="00087BD4"/>
    <w:rsid w:val="0009297A"/>
    <w:rsid w:val="000979A3"/>
    <w:rsid w:val="000A2A7E"/>
    <w:rsid w:val="000A2B79"/>
    <w:rsid w:val="000A76A8"/>
    <w:rsid w:val="000B08EC"/>
    <w:rsid w:val="000B1E5E"/>
    <w:rsid w:val="000B1EE8"/>
    <w:rsid w:val="000B55DE"/>
    <w:rsid w:val="000B7822"/>
    <w:rsid w:val="000C1674"/>
    <w:rsid w:val="000C185F"/>
    <w:rsid w:val="000C2BDC"/>
    <w:rsid w:val="000C33F4"/>
    <w:rsid w:val="000C7F11"/>
    <w:rsid w:val="000D14DC"/>
    <w:rsid w:val="000D2AD8"/>
    <w:rsid w:val="000D40ED"/>
    <w:rsid w:val="000D4A13"/>
    <w:rsid w:val="000E5088"/>
    <w:rsid w:val="00104019"/>
    <w:rsid w:val="00107DAF"/>
    <w:rsid w:val="00111C4C"/>
    <w:rsid w:val="0012054D"/>
    <w:rsid w:val="001224D7"/>
    <w:rsid w:val="001229F2"/>
    <w:rsid w:val="00133CB9"/>
    <w:rsid w:val="00135385"/>
    <w:rsid w:val="00143F78"/>
    <w:rsid w:val="0015611F"/>
    <w:rsid w:val="00166132"/>
    <w:rsid w:val="00167319"/>
    <w:rsid w:val="0017153F"/>
    <w:rsid w:val="001717C8"/>
    <w:rsid w:val="00171EBF"/>
    <w:rsid w:val="001728FC"/>
    <w:rsid w:val="00175861"/>
    <w:rsid w:val="00177A51"/>
    <w:rsid w:val="0018053D"/>
    <w:rsid w:val="00181996"/>
    <w:rsid w:val="00183742"/>
    <w:rsid w:val="00186D30"/>
    <w:rsid w:val="001922A2"/>
    <w:rsid w:val="00192DC1"/>
    <w:rsid w:val="001968B7"/>
    <w:rsid w:val="001A0D53"/>
    <w:rsid w:val="001A3EE0"/>
    <w:rsid w:val="001A4BF6"/>
    <w:rsid w:val="001A4EB0"/>
    <w:rsid w:val="001B06A5"/>
    <w:rsid w:val="001B20CB"/>
    <w:rsid w:val="001B281C"/>
    <w:rsid w:val="001C5F87"/>
    <w:rsid w:val="001D734D"/>
    <w:rsid w:val="001E594C"/>
    <w:rsid w:val="001F4E35"/>
    <w:rsid w:val="0021438C"/>
    <w:rsid w:val="0021473B"/>
    <w:rsid w:val="002201EB"/>
    <w:rsid w:val="0022144E"/>
    <w:rsid w:val="0022352D"/>
    <w:rsid w:val="00236A19"/>
    <w:rsid w:val="00241300"/>
    <w:rsid w:val="00242813"/>
    <w:rsid w:val="00245C2A"/>
    <w:rsid w:val="0024677F"/>
    <w:rsid w:val="00254744"/>
    <w:rsid w:val="00261579"/>
    <w:rsid w:val="002631A6"/>
    <w:rsid w:val="00266762"/>
    <w:rsid w:val="002742B5"/>
    <w:rsid w:val="00280364"/>
    <w:rsid w:val="002804B6"/>
    <w:rsid w:val="00284F96"/>
    <w:rsid w:val="002904F1"/>
    <w:rsid w:val="00292EBC"/>
    <w:rsid w:val="00297465"/>
    <w:rsid w:val="002A3AD7"/>
    <w:rsid w:val="002B3764"/>
    <w:rsid w:val="002C2E4F"/>
    <w:rsid w:val="002D1B17"/>
    <w:rsid w:val="002D6A47"/>
    <w:rsid w:val="002E3C99"/>
    <w:rsid w:val="002E564E"/>
    <w:rsid w:val="002F04AA"/>
    <w:rsid w:val="002F4E22"/>
    <w:rsid w:val="002F50B5"/>
    <w:rsid w:val="002F7E8F"/>
    <w:rsid w:val="00301665"/>
    <w:rsid w:val="003067B4"/>
    <w:rsid w:val="003102D2"/>
    <w:rsid w:val="0032379D"/>
    <w:rsid w:val="00327AA1"/>
    <w:rsid w:val="003344E7"/>
    <w:rsid w:val="00335246"/>
    <w:rsid w:val="00335A64"/>
    <w:rsid w:val="003410EE"/>
    <w:rsid w:val="00341A1A"/>
    <w:rsid w:val="00352714"/>
    <w:rsid w:val="00352F8C"/>
    <w:rsid w:val="003533DA"/>
    <w:rsid w:val="00354B76"/>
    <w:rsid w:val="00361AE4"/>
    <w:rsid w:val="003629DE"/>
    <w:rsid w:val="00363B6E"/>
    <w:rsid w:val="0036406C"/>
    <w:rsid w:val="00366832"/>
    <w:rsid w:val="00366A80"/>
    <w:rsid w:val="0037385C"/>
    <w:rsid w:val="003817C6"/>
    <w:rsid w:val="00382AC0"/>
    <w:rsid w:val="00384238"/>
    <w:rsid w:val="0038457E"/>
    <w:rsid w:val="00390E7C"/>
    <w:rsid w:val="003944FD"/>
    <w:rsid w:val="003946B3"/>
    <w:rsid w:val="003A3A77"/>
    <w:rsid w:val="003A5A7C"/>
    <w:rsid w:val="003A65EE"/>
    <w:rsid w:val="003B0624"/>
    <w:rsid w:val="003C29E1"/>
    <w:rsid w:val="003C5465"/>
    <w:rsid w:val="003D2CE0"/>
    <w:rsid w:val="003D4411"/>
    <w:rsid w:val="003D7F2B"/>
    <w:rsid w:val="003E1FC1"/>
    <w:rsid w:val="003E35B7"/>
    <w:rsid w:val="003E3AB3"/>
    <w:rsid w:val="003E3EE9"/>
    <w:rsid w:val="003F0C44"/>
    <w:rsid w:val="003F1A54"/>
    <w:rsid w:val="003F28E2"/>
    <w:rsid w:val="003F321A"/>
    <w:rsid w:val="003F3ED2"/>
    <w:rsid w:val="00400566"/>
    <w:rsid w:val="00401296"/>
    <w:rsid w:val="004018B0"/>
    <w:rsid w:val="00401DFB"/>
    <w:rsid w:val="00401F38"/>
    <w:rsid w:val="004153DE"/>
    <w:rsid w:val="00416FFB"/>
    <w:rsid w:val="00417E4B"/>
    <w:rsid w:val="00421EA8"/>
    <w:rsid w:val="00425A4E"/>
    <w:rsid w:val="004303E3"/>
    <w:rsid w:val="004312CE"/>
    <w:rsid w:val="0043345E"/>
    <w:rsid w:val="00452662"/>
    <w:rsid w:val="004546C0"/>
    <w:rsid w:val="00456145"/>
    <w:rsid w:val="0045673B"/>
    <w:rsid w:val="004574B6"/>
    <w:rsid w:val="004615DB"/>
    <w:rsid w:val="00473AE1"/>
    <w:rsid w:val="00474794"/>
    <w:rsid w:val="0047627D"/>
    <w:rsid w:val="00485720"/>
    <w:rsid w:val="00487565"/>
    <w:rsid w:val="004A472B"/>
    <w:rsid w:val="004A739F"/>
    <w:rsid w:val="004B367C"/>
    <w:rsid w:val="004B4902"/>
    <w:rsid w:val="004B76C6"/>
    <w:rsid w:val="004C1E8B"/>
    <w:rsid w:val="004D1060"/>
    <w:rsid w:val="004D229A"/>
    <w:rsid w:val="004D451C"/>
    <w:rsid w:val="004D7400"/>
    <w:rsid w:val="004D7ABC"/>
    <w:rsid w:val="004D7D74"/>
    <w:rsid w:val="004E4B22"/>
    <w:rsid w:val="004E5D88"/>
    <w:rsid w:val="004F073C"/>
    <w:rsid w:val="004F6C67"/>
    <w:rsid w:val="00505F2C"/>
    <w:rsid w:val="00510BB1"/>
    <w:rsid w:val="005121D9"/>
    <w:rsid w:val="00524012"/>
    <w:rsid w:val="005341DB"/>
    <w:rsid w:val="0053552D"/>
    <w:rsid w:val="00535C1A"/>
    <w:rsid w:val="00537451"/>
    <w:rsid w:val="00537952"/>
    <w:rsid w:val="005512C9"/>
    <w:rsid w:val="00555CA9"/>
    <w:rsid w:val="005574B2"/>
    <w:rsid w:val="00562AEB"/>
    <w:rsid w:val="0056366F"/>
    <w:rsid w:val="005720C2"/>
    <w:rsid w:val="005727AC"/>
    <w:rsid w:val="0057427F"/>
    <w:rsid w:val="00574DAB"/>
    <w:rsid w:val="00575B97"/>
    <w:rsid w:val="005765EA"/>
    <w:rsid w:val="0058141C"/>
    <w:rsid w:val="005836EF"/>
    <w:rsid w:val="005849EB"/>
    <w:rsid w:val="00584FE3"/>
    <w:rsid w:val="005906C3"/>
    <w:rsid w:val="005923A4"/>
    <w:rsid w:val="00594959"/>
    <w:rsid w:val="005966FE"/>
    <w:rsid w:val="005A1267"/>
    <w:rsid w:val="005A32B7"/>
    <w:rsid w:val="005A788D"/>
    <w:rsid w:val="005B15F4"/>
    <w:rsid w:val="005B34DB"/>
    <w:rsid w:val="005B34F9"/>
    <w:rsid w:val="005B365B"/>
    <w:rsid w:val="005C127C"/>
    <w:rsid w:val="005C55C5"/>
    <w:rsid w:val="005C711F"/>
    <w:rsid w:val="005D18E9"/>
    <w:rsid w:val="005D4B0B"/>
    <w:rsid w:val="005D4E67"/>
    <w:rsid w:val="005D54C1"/>
    <w:rsid w:val="005E5FC3"/>
    <w:rsid w:val="005E6205"/>
    <w:rsid w:val="005E6996"/>
    <w:rsid w:val="005F6FE6"/>
    <w:rsid w:val="00600CDA"/>
    <w:rsid w:val="00603591"/>
    <w:rsid w:val="0060692C"/>
    <w:rsid w:val="006206F7"/>
    <w:rsid w:val="00621044"/>
    <w:rsid w:val="006229DE"/>
    <w:rsid w:val="00623711"/>
    <w:rsid w:val="006259EB"/>
    <w:rsid w:val="0062728E"/>
    <w:rsid w:val="00633B72"/>
    <w:rsid w:val="00635577"/>
    <w:rsid w:val="00636FF6"/>
    <w:rsid w:val="00637039"/>
    <w:rsid w:val="00645AC9"/>
    <w:rsid w:val="00647082"/>
    <w:rsid w:val="00647E89"/>
    <w:rsid w:val="00652678"/>
    <w:rsid w:val="006557C3"/>
    <w:rsid w:val="0065674C"/>
    <w:rsid w:val="006633C7"/>
    <w:rsid w:val="0066625D"/>
    <w:rsid w:val="0066636A"/>
    <w:rsid w:val="0066776C"/>
    <w:rsid w:val="006726D1"/>
    <w:rsid w:val="006802B5"/>
    <w:rsid w:val="00682F0B"/>
    <w:rsid w:val="00685819"/>
    <w:rsid w:val="00691294"/>
    <w:rsid w:val="00695031"/>
    <w:rsid w:val="00695D58"/>
    <w:rsid w:val="006A7684"/>
    <w:rsid w:val="006A77FE"/>
    <w:rsid w:val="006B27A6"/>
    <w:rsid w:val="006B77C2"/>
    <w:rsid w:val="006C0DF7"/>
    <w:rsid w:val="006C1C76"/>
    <w:rsid w:val="006C61D2"/>
    <w:rsid w:val="006C66AE"/>
    <w:rsid w:val="006D4243"/>
    <w:rsid w:val="006D7314"/>
    <w:rsid w:val="006E1B61"/>
    <w:rsid w:val="006E23A3"/>
    <w:rsid w:val="006E7D2C"/>
    <w:rsid w:val="006F09A6"/>
    <w:rsid w:val="006F2289"/>
    <w:rsid w:val="006F30A9"/>
    <w:rsid w:val="006F3FD2"/>
    <w:rsid w:val="006F517C"/>
    <w:rsid w:val="006F5D91"/>
    <w:rsid w:val="006F6C80"/>
    <w:rsid w:val="00704E16"/>
    <w:rsid w:val="00704F7B"/>
    <w:rsid w:val="00706882"/>
    <w:rsid w:val="0071085D"/>
    <w:rsid w:val="00712A02"/>
    <w:rsid w:val="00714FF8"/>
    <w:rsid w:val="00721205"/>
    <w:rsid w:val="0072380F"/>
    <w:rsid w:val="0072429C"/>
    <w:rsid w:val="00725416"/>
    <w:rsid w:val="00726B62"/>
    <w:rsid w:val="00727ED4"/>
    <w:rsid w:val="00733A61"/>
    <w:rsid w:val="0073731A"/>
    <w:rsid w:val="007473CE"/>
    <w:rsid w:val="00760161"/>
    <w:rsid w:val="00767F22"/>
    <w:rsid w:val="00771940"/>
    <w:rsid w:val="00781910"/>
    <w:rsid w:val="00783C8F"/>
    <w:rsid w:val="00790F11"/>
    <w:rsid w:val="00794B78"/>
    <w:rsid w:val="007A143E"/>
    <w:rsid w:val="007A2F6C"/>
    <w:rsid w:val="007A4DAB"/>
    <w:rsid w:val="007A6E26"/>
    <w:rsid w:val="007B20C2"/>
    <w:rsid w:val="007B6EA8"/>
    <w:rsid w:val="007C2769"/>
    <w:rsid w:val="007C4557"/>
    <w:rsid w:val="007C6280"/>
    <w:rsid w:val="007C6372"/>
    <w:rsid w:val="007C7129"/>
    <w:rsid w:val="007D5F28"/>
    <w:rsid w:val="007D6232"/>
    <w:rsid w:val="007E1E9A"/>
    <w:rsid w:val="007E2D5B"/>
    <w:rsid w:val="007E4176"/>
    <w:rsid w:val="007E4F15"/>
    <w:rsid w:val="007E6650"/>
    <w:rsid w:val="007F3FE9"/>
    <w:rsid w:val="008016E3"/>
    <w:rsid w:val="00802EE8"/>
    <w:rsid w:val="00804D00"/>
    <w:rsid w:val="00805BF1"/>
    <w:rsid w:val="00811BD1"/>
    <w:rsid w:val="008136B4"/>
    <w:rsid w:val="00815284"/>
    <w:rsid w:val="00822B55"/>
    <w:rsid w:val="00825C23"/>
    <w:rsid w:val="00831D36"/>
    <w:rsid w:val="008340B7"/>
    <w:rsid w:val="0083462D"/>
    <w:rsid w:val="0083474D"/>
    <w:rsid w:val="008371F0"/>
    <w:rsid w:val="00844061"/>
    <w:rsid w:val="00854593"/>
    <w:rsid w:val="00855643"/>
    <w:rsid w:val="00855D44"/>
    <w:rsid w:val="00861E52"/>
    <w:rsid w:val="008700CB"/>
    <w:rsid w:val="00871734"/>
    <w:rsid w:val="0087236C"/>
    <w:rsid w:val="008801E4"/>
    <w:rsid w:val="00890DF1"/>
    <w:rsid w:val="00894EAF"/>
    <w:rsid w:val="00896553"/>
    <w:rsid w:val="008A2033"/>
    <w:rsid w:val="008A602D"/>
    <w:rsid w:val="008B0A74"/>
    <w:rsid w:val="008B19A3"/>
    <w:rsid w:val="008B4F36"/>
    <w:rsid w:val="008B6717"/>
    <w:rsid w:val="008B7B1D"/>
    <w:rsid w:val="008C3A92"/>
    <w:rsid w:val="008C5D42"/>
    <w:rsid w:val="008C7591"/>
    <w:rsid w:val="008D177A"/>
    <w:rsid w:val="008D6418"/>
    <w:rsid w:val="008E2D63"/>
    <w:rsid w:val="008E4397"/>
    <w:rsid w:val="009004A0"/>
    <w:rsid w:val="00905D9A"/>
    <w:rsid w:val="0091163A"/>
    <w:rsid w:val="0091334E"/>
    <w:rsid w:val="009202EB"/>
    <w:rsid w:val="00924CF0"/>
    <w:rsid w:val="00930CE3"/>
    <w:rsid w:val="00932931"/>
    <w:rsid w:val="0093329A"/>
    <w:rsid w:val="009337A5"/>
    <w:rsid w:val="00936E9E"/>
    <w:rsid w:val="009401DD"/>
    <w:rsid w:val="0094037A"/>
    <w:rsid w:val="00942CC4"/>
    <w:rsid w:val="00943B6A"/>
    <w:rsid w:val="009449DE"/>
    <w:rsid w:val="00954389"/>
    <w:rsid w:val="00960C34"/>
    <w:rsid w:val="00961C0A"/>
    <w:rsid w:val="009749AE"/>
    <w:rsid w:val="009812ED"/>
    <w:rsid w:val="00994F24"/>
    <w:rsid w:val="00995272"/>
    <w:rsid w:val="0099607F"/>
    <w:rsid w:val="009A315D"/>
    <w:rsid w:val="009A3295"/>
    <w:rsid w:val="009B0E5D"/>
    <w:rsid w:val="009B559E"/>
    <w:rsid w:val="009B5A84"/>
    <w:rsid w:val="009B70B0"/>
    <w:rsid w:val="009C3A85"/>
    <w:rsid w:val="009C531C"/>
    <w:rsid w:val="009C7864"/>
    <w:rsid w:val="009C7DE8"/>
    <w:rsid w:val="009D132E"/>
    <w:rsid w:val="009E0C49"/>
    <w:rsid w:val="009E2674"/>
    <w:rsid w:val="009F2922"/>
    <w:rsid w:val="009F3505"/>
    <w:rsid w:val="00A005B0"/>
    <w:rsid w:val="00A00A79"/>
    <w:rsid w:val="00A012A6"/>
    <w:rsid w:val="00A0288C"/>
    <w:rsid w:val="00A03B42"/>
    <w:rsid w:val="00A16037"/>
    <w:rsid w:val="00A208EE"/>
    <w:rsid w:val="00A276EA"/>
    <w:rsid w:val="00A30B1A"/>
    <w:rsid w:val="00A3465D"/>
    <w:rsid w:val="00A376C7"/>
    <w:rsid w:val="00A41300"/>
    <w:rsid w:val="00A4695B"/>
    <w:rsid w:val="00A46DBA"/>
    <w:rsid w:val="00A504D0"/>
    <w:rsid w:val="00A56CBC"/>
    <w:rsid w:val="00A602D3"/>
    <w:rsid w:val="00A61C7A"/>
    <w:rsid w:val="00A61E80"/>
    <w:rsid w:val="00A7210F"/>
    <w:rsid w:val="00A73221"/>
    <w:rsid w:val="00A73B22"/>
    <w:rsid w:val="00A762A9"/>
    <w:rsid w:val="00A91F07"/>
    <w:rsid w:val="00A938DE"/>
    <w:rsid w:val="00A9410D"/>
    <w:rsid w:val="00AA2C5D"/>
    <w:rsid w:val="00AA3935"/>
    <w:rsid w:val="00AA69E5"/>
    <w:rsid w:val="00AA78E7"/>
    <w:rsid w:val="00AB6B1A"/>
    <w:rsid w:val="00AB72B7"/>
    <w:rsid w:val="00AC007F"/>
    <w:rsid w:val="00AC1238"/>
    <w:rsid w:val="00AC1A29"/>
    <w:rsid w:val="00AC2412"/>
    <w:rsid w:val="00AC5B6B"/>
    <w:rsid w:val="00AC7D98"/>
    <w:rsid w:val="00AD2295"/>
    <w:rsid w:val="00AD2300"/>
    <w:rsid w:val="00AD74FB"/>
    <w:rsid w:val="00AE43E0"/>
    <w:rsid w:val="00AE6824"/>
    <w:rsid w:val="00AE6A45"/>
    <w:rsid w:val="00AF00D3"/>
    <w:rsid w:val="00AF0888"/>
    <w:rsid w:val="00AF22CD"/>
    <w:rsid w:val="00AF2598"/>
    <w:rsid w:val="00AF29D5"/>
    <w:rsid w:val="00B01B08"/>
    <w:rsid w:val="00B03F4E"/>
    <w:rsid w:val="00B107CD"/>
    <w:rsid w:val="00B10CB6"/>
    <w:rsid w:val="00B13C4A"/>
    <w:rsid w:val="00B27C3F"/>
    <w:rsid w:val="00B320FC"/>
    <w:rsid w:val="00B32754"/>
    <w:rsid w:val="00B33875"/>
    <w:rsid w:val="00B373A2"/>
    <w:rsid w:val="00B50835"/>
    <w:rsid w:val="00B533F1"/>
    <w:rsid w:val="00B55F5C"/>
    <w:rsid w:val="00B577B4"/>
    <w:rsid w:val="00B644B3"/>
    <w:rsid w:val="00B65F66"/>
    <w:rsid w:val="00B66D36"/>
    <w:rsid w:val="00B66E65"/>
    <w:rsid w:val="00B67597"/>
    <w:rsid w:val="00B8416C"/>
    <w:rsid w:val="00B86C6A"/>
    <w:rsid w:val="00B901C9"/>
    <w:rsid w:val="00B92DC1"/>
    <w:rsid w:val="00B95CB9"/>
    <w:rsid w:val="00B97EB5"/>
    <w:rsid w:val="00BA1AE5"/>
    <w:rsid w:val="00BA559E"/>
    <w:rsid w:val="00BB647F"/>
    <w:rsid w:val="00BC5186"/>
    <w:rsid w:val="00BD167E"/>
    <w:rsid w:val="00BD2CC3"/>
    <w:rsid w:val="00BD4705"/>
    <w:rsid w:val="00BD654D"/>
    <w:rsid w:val="00BF3128"/>
    <w:rsid w:val="00C01F20"/>
    <w:rsid w:val="00C03C54"/>
    <w:rsid w:val="00C0599D"/>
    <w:rsid w:val="00C151F2"/>
    <w:rsid w:val="00C173A8"/>
    <w:rsid w:val="00C255BE"/>
    <w:rsid w:val="00C30175"/>
    <w:rsid w:val="00C313B9"/>
    <w:rsid w:val="00C473B4"/>
    <w:rsid w:val="00C503C2"/>
    <w:rsid w:val="00C535AC"/>
    <w:rsid w:val="00C6288A"/>
    <w:rsid w:val="00C67CDC"/>
    <w:rsid w:val="00C77751"/>
    <w:rsid w:val="00C82682"/>
    <w:rsid w:val="00C83581"/>
    <w:rsid w:val="00C83809"/>
    <w:rsid w:val="00C8595D"/>
    <w:rsid w:val="00C925CE"/>
    <w:rsid w:val="00C92BBA"/>
    <w:rsid w:val="00C9614A"/>
    <w:rsid w:val="00C96E0B"/>
    <w:rsid w:val="00C97EE7"/>
    <w:rsid w:val="00CA0D89"/>
    <w:rsid w:val="00CB2120"/>
    <w:rsid w:val="00CB7C19"/>
    <w:rsid w:val="00CC6697"/>
    <w:rsid w:val="00CC669D"/>
    <w:rsid w:val="00CD076E"/>
    <w:rsid w:val="00CE1310"/>
    <w:rsid w:val="00CE4102"/>
    <w:rsid w:val="00CE4E9D"/>
    <w:rsid w:val="00CF1718"/>
    <w:rsid w:val="00D01A08"/>
    <w:rsid w:val="00D03CFF"/>
    <w:rsid w:val="00D123E7"/>
    <w:rsid w:val="00D24687"/>
    <w:rsid w:val="00D25F9D"/>
    <w:rsid w:val="00D31914"/>
    <w:rsid w:val="00D354AC"/>
    <w:rsid w:val="00D40FF6"/>
    <w:rsid w:val="00D425D3"/>
    <w:rsid w:val="00D43133"/>
    <w:rsid w:val="00D455F0"/>
    <w:rsid w:val="00D53186"/>
    <w:rsid w:val="00D55B8E"/>
    <w:rsid w:val="00D80929"/>
    <w:rsid w:val="00D809A0"/>
    <w:rsid w:val="00D84F94"/>
    <w:rsid w:val="00D864DE"/>
    <w:rsid w:val="00D8793E"/>
    <w:rsid w:val="00D906B6"/>
    <w:rsid w:val="00DA1B5D"/>
    <w:rsid w:val="00DA4F54"/>
    <w:rsid w:val="00DA58FB"/>
    <w:rsid w:val="00DA7158"/>
    <w:rsid w:val="00DA7E35"/>
    <w:rsid w:val="00DB4FE5"/>
    <w:rsid w:val="00DC0725"/>
    <w:rsid w:val="00DC3BE4"/>
    <w:rsid w:val="00DC56F7"/>
    <w:rsid w:val="00DC7429"/>
    <w:rsid w:val="00DD113A"/>
    <w:rsid w:val="00DD6C3C"/>
    <w:rsid w:val="00DE04E4"/>
    <w:rsid w:val="00DE1C0C"/>
    <w:rsid w:val="00DE4334"/>
    <w:rsid w:val="00DF1BDD"/>
    <w:rsid w:val="00DF4663"/>
    <w:rsid w:val="00DF7EB2"/>
    <w:rsid w:val="00DF7F2F"/>
    <w:rsid w:val="00E14D87"/>
    <w:rsid w:val="00E16F71"/>
    <w:rsid w:val="00E17D2D"/>
    <w:rsid w:val="00E22F01"/>
    <w:rsid w:val="00E30FCE"/>
    <w:rsid w:val="00E3752C"/>
    <w:rsid w:val="00E37A9C"/>
    <w:rsid w:val="00E4029F"/>
    <w:rsid w:val="00E40585"/>
    <w:rsid w:val="00E612AB"/>
    <w:rsid w:val="00E617C0"/>
    <w:rsid w:val="00E61BA1"/>
    <w:rsid w:val="00E622E1"/>
    <w:rsid w:val="00E65343"/>
    <w:rsid w:val="00E653F5"/>
    <w:rsid w:val="00E74958"/>
    <w:rsid w:val="00E75D0E"/>
    <w:rsid w:val="00E8662F"/>
    <w:rsid w:val="00E870D5"/>
    <w:rsid w:val="00E9001F"/>
    <w:rsid w:val="00E90270"/>
    <w:rsid w:val="00E95D13"/>
    <w:rsid w:val="00EA7DA8"/>
    <w:rsid w:val="00EB0D00"/>
    <w:rsid w:val="00EB5F46"/>
    <w:rsid w:val="00EC1D16"/>
    <w:rsid w:val="00EC5183"/>
    <w:rsid w:val="00ED482B"/>
    <w:rsid w:val="00EE34F3"/>
    <w:rsid w:val="00EE71D2"/>
    <w:rsid w:val="00EF0D47"/>
    <w:rsid w:val="00EF168C"/>
    <w:rsid w:val="00EF1BE3"/>
    <w:rsid w:val="00EF2133"/>
    <w:rsid w:val="00EF67A6"/>
    <w:rsid w:val="00EF6956"/>
    <w:rsid w:val="00F030A5"/>
    <w:rsid w:val="00F03681"/>
    <w:rsid w:val="00F0595B"/>
    <w:rsid w:val="00F07C41"/>
    <w:rsid w:val="00F103AF"/>
    <w:rsid w:val="00F120D2"/>
    <w:rsid w:val="00F21D91"/>
    <w:rsid w:val="00F23EAA"/>
    <w:rsid w:val="00F25A94"/>
    <w:rsid w:val="00F26883"/>
    <w:rsid w:val="00F32292"/>
    <w:rsid w:val="00F335E5"/>
    <w:rsid w:val="00F41295"/>
    <w:rsid w:val="00F416C0"/>
    <w:rsid w:val="00F46F44"/>
    <w:rsid w:val="00F47F08"/>
    <w:rsid w:val="00F50812"/>
    <w:rsid w:val="00F51170"/>
    <w:rsid w:val="00F52AC2"/>
    <w:rsid w:val="00F53272"/>
    <w:rsid w:val="00F5352D"/>
    <w:rsid w:val="00F536F4"/>
    <w:rsid w:val="00F61537"/>
    <w:rsid w:val="00F61CE6"/>
    <w:rsid w:val="00F6202E"/>
    <w:rsid w:val="00F725EF"/>
    <w:rsid w:val="00F74893"/>
    <w:rsid w:val="00F74AB3"/>
    <w:rsid w:val="00F861A6"/>
    <w:rsid w:val="00F879C4"/>
    <w:rsid w:val="00F9027A"/>
    <w:rsid w:val="00F90C9A"/>
    <w:rsid w:val="00F9401F"/>
    <w:rsid w:val="00F97780"/>
    <w:rsid w:val="00FA0E9F"/>
    <w:rsid w:val="00FA298E"/>
    <w:rsid w:val="00FA61EA"/>
    <w:rsid w:val="00FB0704"/>
    <w:rsid w:val="00FD0C7C"/>
    <w:rsid w:val="00FD1CA0"/>
    <w:rsid w:val="00FD5803"/>
    <w:rsid w:val="00FD7F45"/>
    <w:rsid w:val="00FE2C2F"/>
    <w:rsid w:val="00FF007A"/>
    <w:rsid w:val="02F01E7B"/>
    <w:rsid w:val="34456AA9"/>
    <w:rsid w:val="3BD5FCB7"/>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0EB49"/>
  <w15:chartTrackingRefBased/>
  <w15:docId w15:val="{11F1C1E3-D93C-4F65-9A8D-3A19AB7C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A65EE"/>
    <w:pPr>
      <w:spacing w:after="0" w:line="240" w:lineRule="auto"/>
      <w:jc w:val="center"/>
      <w:outlineLvl w:val="0"/>
    </w:pPr>
    <w:rPr>
      <w:rFonts w:asciiTheme="majorBidi" w:hAnsiTheme="majorBidi" w:cstheme="majorBidi"/>
      <w:b/>
      <w:bCs/>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2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55F5C"/>
    <w:rPr>
      <w:color w:val="0563C1" w:themeColor="hyperlink"/>
      <w:u w:val="single"/>
    </w:rPr>
  </w:style>
  <w:style w:type="character" w:customStyle="1" w:styleId="UnresolvedMention">
    <w:name w:val="Unresolved Mention"/>
    <w:basedOn w:val="a0"/>
    <w:uiPriority w:val="99"/>
    <w:semiHidden/>
    <w:unhideWhenUsed/>
    <w:rsid w:val="00B55F5C"/>
    <w:rPr>
      <w:color w:val="605E5C"/>
      <w:shd w:val="clear" w:color="auto" w:fill="E1DFDD"/>
    </w:rPr>
  </w:style>
  <w:style w:type="paragraph" w:styleId="a5">
    <w:name w:val="header"/>
    <w:basedOn w:val="a"/>
    <w:link w:val="a6"/>
    <w:uiPriority w:val="99"/>
    <w:unhideWhenUsed/>
    <w:rsid w:val="00BF31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3128"/>
  </w:style>
  <w:style w:type="paragraph" w:styleId="a7">
    <w:name w:val="footer"/>
    <w:basedOn w:val="a"/>
    <w:link w:val="a8"/>
    <w:uiPriority w:val="99"/>
    <w:unhideWhenUsed/>
    <w:rsid w:val="00BF312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3128"/>
  </w:style>
  <w:style w:type="character" w:styleId="a9">
    <w:name w:val="FollowedHyperlink"/>
    <w:basedOn w:val="a0"/>
    <w:uiPriority w:val="99"/>
    <w:semiHidden/>
    <w:unhideWhenUsed/>
    <w:rsid w:val="00104019"/>
    <w:rPr>
      <w:color w:val="954F72" w:themeColor="followedHyperlink"/>
      <w:u w:val="single"/>
    </w:rPr>
  </w:style>
  <w:style w:type="paragraph" w:styleId="aa">
    <w:name w:val="Normal (Web)"/>
    <w:basedOn w:val="a"/>
    <w:uiPriority w:val="99"/>
    <w:unhideWhenUsed/>
    <w:rsid w:val="00EF0D47"/>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EF0D47"/>
    <w:rPr>
      <w:b/>
      <w:bCs/>
    </w:rPr>
  </w:style>
  <w:style w:type="paragraph" w:styleId="ac">
    <w:name w:val="List Paragraph"/>
    <w:basedOn w:val="a"/>
    <w:uiPriority w:val="34"/>
    <w:qFormat/>
    <w:rsid w:val="00416FFB"/>
    <w:pPr>
      <w:ind w:left="720"/>
      <w:contextualSpacing/>
    </w:pPr>
  </w:style>
  <w:style w:type="character" w:styleId="ad">
    <w:name w:val="Emphasis"/>
    <w:basedOn w:val="a0"/>
    <w:uiPriority w:val="20"/>
    <w:qFormat/>
    <w:rsid w:val="00087BD4"/>
    <w:rPr>
      <w:i/>
      <w:iCs/>
    </w:rPr>
  </w:style>
  <w:style w:type="paragraph" w:styleId="ae">
    <w:name w:val="footnote text"/>
    <w:basedOn w:val="a"/>
    <w:link w:val="af"/>
    <w:uiPriority w:val="99"/>
    <w:semiHidden/>
    <w:unhideWhenUsed/>
    <w:rsid w:val="00087BD4"/>
    <w:pPr>
      <w:spacing w:after="0" w:line="240" w:lineRule="auto"/>
    </w:pPr>
    <w:rPr>
      <w:sz w:val="20"/>
      <w:szCs w:val="20"/>
    </w:rPr>
  </w:style>
  <w:style w:type="character" w:customStyle="1" w:styleId="af">
    <w:name w:val="Текст сноски Знак"/>
    <w:basedOn w:val="a0"/>
    <w:link w:val="ae"/>
    <w:uiPriority w:val="99"/>
    <w:semiHidden/>
    <w:rsid w:val="00087BD4"/>
    <w:rPr>
      <w:sz w:val="20"/>
      <w:szCs w:val="20"/>
    </w:rPr>
  </w:style>
  <w:style w:type="character" w:styleId="af0">
    <w:name w:val="footnote reference"/>
    <w:basedOn w:val="a0"/>
    <w:uiPriority w:val="99"/>
    <w:semiHidden/>
    <w:unhideWhenUsed/>
    <w:rsid w:val="00087BD4"/>
    <w:rPr>
      <w:vertAlign w:val="superscript"/>
    </w:rPr>
  </w:style>
  <w:style w:type="character" w:customStyle="1" w:styleId="10">
    <w:name w:val="Заголовок 1 Знак"/>
    <w:basedOn w:val="a0"/>
    <w:link w:val="1"/>
    <w:uiPriority w:val="9"/>
    <w:rsid w:val="003A65EE"/>
    <w:rPr>
      <w:rFonts w:asciiTheme="majorBidi" w:hAnsiTheme="majorBidi" w:cstheme="majorBidi"/>
      <w:b/>
      <w:bCs/>
      <w:lang w:val="ro-MD"/>
    </w:rPr>
  </w:style>
  <w:style w:type="paragraph" w:styleId="11">
    <w:name w:val="toc 1"/>
    <w:basedOn w:val="a"/>
    <w:next w:val="a"/>
    <w:autoRedefine/>
    <w:uiPriority w:val="39"/>
    <w:unhideWhenUsed/>
    <w:rsid w:val="00E617C0"/>
    <w:pPr>
      <w:tabs>
        <w:tab w:val="right" w:leader="dot" w:pos="14567"/>
      </w:tabs>
      <w:spacing w:after="100"/>
      <w:jc w:val="center"/>
    </w:pPr>
    <w:rPr>
      <w:rFonts w:asciiTheme="majorBidi" w:hAnsiTheme="majorBidi" w:cstheme="majorBidi"/>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2706">
      <w:bodyDiv w:val="1"/>
      <w:marLeft w:val="0"/>
      <w:marRight w:val="0"/>
      <w:marTop w:val="0"/>
      <w:marBottom w:val="0"/>
      <w:divBdr>
        <w:top w:val="none" w:sz="0" w:space="0" w:color="auto"/>
        <w:left w:val="none" w:sz="0" w:space="0" w:color="auto"/>
        <w:bottom w:val="none" w:sz="0" w:space="0" w:color="auto"/>
        <w:right w:val="none" w:sz="0" w:space="0" w:color="auto"/>
      </w:divBdr>
    </w:div>
    <w:div w:id="329023032">
      <w:bodyDiv w:val="1"/>
      <w:marLeft w:val="0"/>
      <w:marRight w:val="0"/>
      <w:marTop w:val="0"/>
      <w:marBottom w:val="0"/>
      <w:divBdr>
        <w:top w:val="none" w:sz="0" w:space="0" w:color="auto"/>
        <w:left w:val="none" w:sz="0" w:space="0" w:color="auto"/>
        <w:bottom w:val="none" w:sz="0" w:space="0" w:color="auto"/>
        <w:right w:val="none" w:sz="0" w:space="0" w:color="auto"/>
      </w:divBdr>
    </w:div>
    <w:div w:id="466774806">
      <w:bodyDiv w:val="1"/>
      <w:marLeft w:val="0"/>
      <w:marRight w:val="0"/>
      <w:marTop w:val="0"/>
      <w:marBottom w:val="0"/>
      <w:divBdr>
        <w:top w:val="none" w:sz="0" w:space="0" w:color="auto"/>
        <w:left w:val="none" w:sz="0" w:space="0" w:color="auto"/>
        <w:bottom w:val="none" w:sz="0" w:space="0" w:color="auto"/>
        <w:right w:val="none" w:sz="0" w:space="0" w:color="auto"/>
      </w:divBdr>
    </w:div>
    <w:div w:id="869999966">
      <w:bodyDiv w:val="1"/>
      <w:marLeft w:val="0"/>
      <w:marRight w:val="0"/>
      <w:marTop w:val="0"/>
      <w:marBottom w:val="0"/>
      <w:divBdr>
        <w:top w:val="none" w:sz="0" w:space="0" w:color="auto"/>
        <w:left w:val="none" w:sz="0" w:space="0" w:color="auto"/>
        <w:bottom w:val="none" w:sz="0" w:space="0" w:color="auto"/>
        <w:right w:val="none" w:sz="0" w:space="0" w:color="auto"/>
      </w:divBdr>
    </w:div>
    <w:div w:id="1249971228">
      <w:bodyDiv w:val="1"/>
      <w:marLeft w:val="0"/>
      <w:marRight w:val="0"/>
      <w:marTop w:val="0"/>
      <w:marBottom w:val="0"/>
      <w:divBdr>
        <w:top w:val="none" w:sz="0" w:space="0" w:color="auto"/>
        <w:left w:val="none" w:sz="0" w:space="0" w:color="auto"/>
        <w:bottom w:val="none" w:sz="0" w:space="0" w:color="auto"/>
        <w:right w:val="none" w:sz="0" w:space="0" w:color="auto"/>
      </w:divBdr>
    </w:div>
    <w:div w:id="1619529502">
      <w:bodyDiv w:val="1"/>
      <w:marLeft w:val="0"/>
      <w:marRight w:val="0"/>
      <w:marTop w:val="0"/>
      <w:marBottom w:val="0"/>
      <w:divBdr>
        <w:top w:val="none" w:sz="0" w:space="0" w:color="auto"/>
        <w:left w:val="none" w:sz="0" w:space="0" w:color="auto"/>
        <w:bottom w:val="none" w:sz="0" w:space="0" w:color="auto"/>
        <w:right w:val="none" w:sz="0" w:space="0" w:color="auto"/>
      </w:divBdr>
    </w:div>
    <w:div w:id="1722365327">
      <w:bodyDiv w:val="1"/>
      <w:marLeft w:val="0"/>
      <w:marRight w:val="0"/>
      <w:marTop w:val="0"/>
      <w:marBottom w:val="0"/>
      <w:divBdr>
        <w:top w:val="none" w:sz="0" w:space="0" w:color="auto"/>
        <w:left w:val="none" w:sz="0" w:space="0" w:color="auto"/>
        <w:bottom w:val="none" w:sz="0" w:space="0" w:color="auto"/>
        <w:right w:val="none" w:sz="0" w:space="0" w:color="auto"/>
      </w:divBdr>
    </w:div>
    <w:div w:id="19663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udoc.echr.coe.int/?i=001-230103" TargetMode="External"/><Relationship Id="rId18" Type="http://schemas.openxmlformats.org/officeDocument/2006/relationships/hyperlink" Target="https://hudoc.echr.coe.int/?i=001-233631" TargetMode="External"/><Relationship Id="rId26" Type="http://schemas.openxmlformats.org/officeDocument/2006/relationships/hyperlink" Target="https://hudoc.echr.coe.int/?i=001-208411" TargetMode="External"/><Relationship Id="rId3" Type="http://schemas.openxmlformats.org/officeDocument/2006/relationships/styles" Target="styles.xml"/><Relationship Id="rId21" Type="http://schemas.openxmlformats.org/officeDocument/2006/relationships/hyperlink" Target="https://hudoc.echr.coe.int/?i=001-243982" TargetMode="External"/><Relationship Id="rId7" Type="http://schemas.openxmlformats.org/officeDocument/2006/relationships/endnotes" Target="endnotes.xml"/><Relationship Id="rId12" Type="http://schemas.openxmlformats.org/officeDocument/2006/relationships/hyperlink" Target="https://hudoc.echr.coe.int/?i=001-222310" TargetMode="External"/><Relationship Id="rId17" Type="http://schemas.openxmlformats.org/officeDocument/2006/relationships/hyperlink" Target="https://hudoc.echr.coe.int/?i=001-222750" TargetMode="External"/><Relationship Id="rId25" Type="http://schemas.openxmlformats.org/officeDocument/2006/relationships/hyperlink" Target="https://hudoc.echr.coe.int/?i=001-231348" TargetMode="External"/><Relationship Id="rId2" Type="http://schemas.openxmlformats.org/officeDocument/2006/relationships/numbering" Target="numbering.xml"/><Relationship Id="rId16" Type="http://schemas.openxmlformats.org/officeDocument/2006/relationships/hyperlink" Target="https://hudoc.echr.coe.int/?i=001-244006" TargetMode="External"/><Relationship Id="rId20" Type="http://schemas.openxmlformats.org/officeDocument/2006/relationships/hyperlink" Target="https://hudoc.echr.coe.int/?i=001-24336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i=001-219333" TargetMode="External"/><Relationship Id="rId24" Type="http://schemas.openxmlformats.org/officeDocument/2006/relationships/hyperlink" Target="https://hudoc.echr.coe.int/?i=001-24485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udoc.echr.coe.int/?i=001-244348" TargetMode="External"/><Relationship Id="rId23" Type="http://schemas.openxmlformats.org/officeDocument/2006/relationships/hyperlink" Target="https://hudoc.echr.coe.int/eng?i=001-218080" TargetMode="External"/><Relationship Id="rId28" Type="http://schemas.openxmlformats.org/officeDocument/2006/relationships/hyperlink" Target="https://hudoc.echr.coe.int/?i=001-221835" TargetMode="External"/><Relationship Id="rId10" Type="http://schemas.openxmlformats.org/officeDocument/2006/relationships/hyperlink" Target="https://hudoc.echr.coe.int/?i=001-245121" TargetMode="External"/><Relationship Id="rId19" Type="http://schemas.openxmlformats.org/officeDocument/2006/relationships/hyperlink" Target="https://hudoc.echr.coe.int/?i=001-22581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udoc.echr.coe.int/?i=001-242418" TargetMode="External"/><Relationship Id="rId14" Type="http://schemas.openxmlformats.org/officeDocument/2006/relationships/hyperlink" Target="https://hudoc.echr.coe.int/?i=001-242536" TargetMode="External"/><Relationship Id="rId22" Type="http://schemas.openxmlformats.org/officeDocument/2006/relationships/hyperlink" Target="https://hudoc.echr.coe.int/?i=001-243777" TargetMode="External"/><Relationship Id="rId27" Type="http://schemas.openxmlformats.org/officeDocument/2006/relationships/hyperlink" Target="https://hudoc.echr.coe.int/?i=001-211367"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795F8-ACBA-48CB-82C6-45A604A8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15647</Words>
  <Characters>89190</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Butorina</dc:creator>
  <cp:keywords/>
  <dc:description/>
  <cp:lastModifiedBy>User</cp:lastModifiedBy>
  <cp:revision>2</cp:revision>
  <cp:lastPrinted>2025-11-27T18:44:00Z</cp:lastPrinted>
  <dcterms:created xsi:type="dcterms:W3CDTF">2025-12-09T23:09:00Z</dcterms:created>
  <dcterms:modified xsi:type="dcterms:W3CDTF">2025-12-09T23:09:00Z</dcterms:modified>
</cp:coreProperties>
</file>