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2C100" w14:textId="77777777" w:rsidR="00672C0E" w:rsidRPr="00031651" w:rsidRDefault="00672C0E" w:rsidP="00672C0E">
      <w:pPr>
        <w:pStyle w:val="ac"/>
        <w:jc w:val="center"/>
        <w:rPr>
          <w:b/>
          <w:bCs/>
          <w:color w:val="000000"/>
        </w:rPr>
      </w:pPr>
      <w:r w:rsidRPr="00031651">
        <w:rPr>
          <w:b/>
          <w:bCs/>
          <w:color w:val="000000"/>
        </w:rPr>
        <w:t>UNIVERSITATEA DE STAT DIN MOLDOVA</w:t>
      </w:r>
    </w:p>
    <w:p w14:paraId="3122E682" w14:textId="77777777" w:rsidR="00672C0E" w:rsidRPr="00031651" w:rsidRDefault="00672C0E" w:rsidP="00672C0E">
      <w:pPr>
        <w:pStyle w:val="ac"/>
        <w:jc w:val="center"/>
        <w:rPr>
          <w:b/>
          <w:bCs/>
          <w:color w:val="000000"/>
        </w:rPr>
      </w:pPr>
      <w:r w:rsidRPr="00031651">
        <w:rPr>
          <w:b/>
          <w:bCs/>
          <w:color w:val="000000"/>
        </w:rPr>
        <w:t>FACULTATEA DE DREPT</w:t>
      </w:r>
    </w:p>
    <w:p w14:paraId="22F1C3F9" w14:textId="77777777" w:rsidR="00672C0E" w:rsidRPr="00031651" w:rsidRDefault="00672C0E" w:rsidP="00672C0E">
      <w:pPr>
        <w:pStyle w:val="ac"/>
        <w:jc w:val="center"/>
        <w:rPr>
          <w:b/>
          <w:bCs/>
          <w:color w:val="000000"/>
        </w:rPr>
      </w:pPr>
      <w:r w:rsidRPr="00031651">
        <w:rPr>
          <w:b/>
          <w:bCs/>
          <w:color w:val="000000"/>
        </w:rPr>
        <w:t>Departament Drept Internațional</w:t>
      </w:r>
    </w:p>
    <w:p w14:paraId="2FF7EA85" w14:textId="77777777" w:rsidR="00672C0E" w:rsidRPr="00031651" w:rsidRDefault="00672C0E" w:rsidP="00672C0E">
      <w:pPr>
        <w:pStyle w:val="ac"/>
        <w:rPr>
          <w:color w:val="000000"/>
        </w:rPr>
      </w:pPr>
    </w:p>
    <w:p w14:paraId="54ECB998" w14:textId="77777777" w:rsidR="00672C0E" w:rsidRPr="00031651" w:rsidRDefault="00672C0E" w:rsidP="00672C0E">
      <w:pPr>
        <w:pStyle w:val="ac"/>
        <w:rPr>
          <w:color w:val="000000"/>
        </w:rPr>
      </w:pPr>
    </w:p>
    <w:p w14:paraId="1898EEC9" w14:textId="77777777" w:rsidR="00672C0E" w:rsidRPr="00031651" w:rsidRDefault="00672C0E" w:rsidP="00672C0E">
      <w:pPr>
        <w:pStyle w:val="ac"/>
        <w:rPr>
          <w:color w:val="000000"/>
        </w:rPr>
      </w:pPr>
    </w:p>
    <w:p w14:paraId="3E0D6472" w14:textId="77777777" w:rsidR="00672C0E" w:rsidRPr="00031651" w:rsidRDefault="00672C0E" w:rsidP="00672C0E">
      <w:pPr>
        <w:pStyle w:val="ac"/>
        <w:jc w:val="center"/>
        <w:rPr>
          <w:b/>
          <w:bCs/>
          <w:color w:val="000000"/>
        </w:rPr>
      </w:pPr>
      <w:r w:rsidRPr="00031651">
        <w:rPr>
          <w:b/>
          <w:bCs/>
          <w:color w:val="000000"/>
        </w:rPr>
        <w:t>CURSUL</w:t>
      </w:r>
    </w:p>
    <w:p w14:paraId="22D33192" w14:textId="63AF65A5" w:rsidR="00672C0E" w:rsidRPr="00031651" w:rsidRDefault="00850ACE" w:rsidP="00672C0E">
      <w:pPr>
        <w:pStyle w:val="ac"/>
        <w:jc w:val="center"/>
        <w:rPr>
          <w:b/>
          <w:bCs/>
          <w:color w:val="000000"/>
        </w:rPr>
      </w:pPr>
      <w:r w:rsidRPr="00031651">
        <w:rPr>
          <w:b/>
          <w:bCs/>
          <w:color w:val="000000"/>
        </w:rPr>
        <w:t xml:space="preserve">PRINCIPIILE APLICĂRII CONVENȚIEI EUROPENE A DREPTURILOR OMULUI ÎN </w:t>
      </w:r>
      <w:r w:rsidR="00C61917" w:rsidRPr="00031651">
        <w:rPr>
          <w:b/>
          <w:bCs/>
          <w:color w:val="000000"/>
        </w:rPr>
        <w:t>ORDINEA JURIDICĂ INTERNĂ</w:t>
      </w:r>
      <w:bookmarkStart w:id="0" w:name="_GoBack"/>
      <w:bookmarkEnd w:id="0"/>
    </w:p>
    <w:p w14:paraId="1B2184CF" w14:textId="77777777" w:rsidR="00672C0E" w:rsidRPr="00031651" w:rsidRDefault="00672C0E" w:rsidP="00672C0E">
      <w:pPr>
        <w:pStyle w:val="ac"/>
        <w:jc w:val="center"/>
        <w:rPr>
          <w:b/>
          <w:bCs/>
          <w:color w:val="000000"/>
        </w:rPr>
      </w:pPr>
      <w:r w:rsidRPr="00031651">
        <w:rPr>
          <w:b/>
          <w:bCs/>
          <w:color w:val="000000"/>
        </w:rPr>
        <w:t>Lucru individual</w:t>
      </w:r>
    </w:p>
    <w:p w14:paraId="01116405" w14:textId="77777777" w:rsidR="00672C0E" w:rsidRPr="00031651" w:rsidRDefault="00672C0E" w:rsidP="00C61917">
      <w:pPr>
        <w:pStyle w:val="ac"/>
        <w:rPr>
          <w:b/>
          <w:bCs/>
          <w:color w:val="000000"/>
        </w:rPr>
      </w:pPr>
    </w:p>
    <w:p w14:paraId="1D25E075" w14:textId="77777777" w:rsidR="00C61917" w:rsidRPr="00031651" w:rsidRDefault="00C61917" w:rsidP="00C61917">
      <w:pPr>
        <w:pStyle w:val="ac"/>
        <w:rPr>
          <w:b/>
          <w:bCs/>
          <w:color w:val="000000"/>
        </w:rPr>
      </w:pPr>
    </w:p>
    <w:p w14:paraId="6D17E651" w14:textId="77777777" w:rsidR="00C61917" w:rsidRPr="00031651" w:rsidRDefault="00C61917" w:rsidP="00C61917">
      <w:pPr>
        <w:pStyle w:val="ac"/>
        <w:rPr>
          <w:b/>
          <w:bCs/>
          <w:color w:val="000000"/>
        </w:rPr>
      </w:pPr>
    </w:p>
    <w:p w14:paraId="393D4643" w14:textId="0FA77B49" w:rsidR="00672C0E" w:rsidRPr="00031651" w:rsidRDefault="00672C0E" w:rsidP="00C61917">
      <w:pPr>
        <w:jc w:val="center"/>
        <w:rPr>
          <w:rFonts w:ascii="Times New Roman" w:hAnsi="Times New Roman" w:cs="Times New Roman"/>
          <w:szCs w:val="24"/>
        </w:rPr>
      </w:pPr>
      <w:r w:rsidRPr="00031651">
        <w:rPr>
          <w:rFonts w:ascii="Times New Roman" w:hAnsi="Times New Roman" w:cs="Times New Roman"/>
          <w:b/>
          <w:bCs/>
          <w:noProof/>
          <w:sz w:val="24"/>
          <w:szCs w:val="24"/>
          <w:lang w:val="ru-RU" w:eastAsia="ru-RU"/>
        </w:rPr>
        <w:drawing>
          <wp:anchor distT="0" distB="0" distL="114300" distR="114300" simplePos="0" relativeHeight="251656192" behindDoc="1" locked="0" layoutInCell="1" allowOverlap="1" wp14:anchorId="594C18AF" wp14:editId="575BE76F">
            <wp:simplePos x="0" y="0"/>
            <wp:positionH relativeFrom="column">
              <wp:posOffset>176530</wp:posOffset>
            </wp:positionH>
            <wp:positionV relativeFrom="paragraph">
              <wp:posOffset>286385</wp:posOffset>
            </wp:positionV>
            <wp:extent cx="2590800" cy="2590800"/>
            <wp:effectExtent l="0" t="0" r="0" b="0"/>
            <wp:wrapTight wrapText="bothSides">
              <wp:wrapPolygon edited="0">
                <wp:start x="8576" y="0"/>
                <wp:lineTo x="7306" y="159"/>
                <wp:lineTo x="3335" y="2065"/>
                <wp:lineTo x="3176" y="2700"/>
                <wp:lineTo x="1112" y="5082"/>
                <wp:lineTo x="0" y="7624"/>
                <wp:lineTo x="0" y="13024"/>
                <wp:lineTo x="476" y="15247"/>
                <wp:lineTo x="2065" y="17788"/>
                <wp:lineTo x="5400" y="20488"/>
                <wp:lineTo x="8100" y="21441"/>
                <wp:lineTo x="8576" y="21441"/>
                <wp:lineTo x="12865" y="21441"/>
                <wp:lineTo x="13341" y="21441"/>
                <wp:lineTo x="16041" y="20488"/>
                <wp:lineTo x="19376" y="17788"/>
                <wp:lineTo x="20965" y="15247"/>
                <wp:lineTo x="21441" y="13024"/>
                <wp:lineTo x="21441" y="7624"/>
                <wp:lineTo x="20329" y="5082"/>
                <wp:lineTo x="18265" y="2700"/>
                <wp:lineTo x="18106" y="2065"/>
                <wp:lineTo x="14135" y="159"/>
                <wp:lineTo x="12865" y="0"/>
                <wp:lineTo x="8576" y="0"/>
              </wp:wrapPolygon>
            </wp:wrapTight>
            <wp:docPr id="4" name="Picture 3" descr="Colaborări – Facultatea de Dr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aborări – Facultatea de Drep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651">
        <w:rPr>
          <w:rFonts w:ascii="Times New Roman" w:hAnsi="Times New Roman" w:cs="Times New Roman"/>
          <w:b/>
          <w:bCs/>
          <w:noProof/>
          <w:sz w:val="24"/>
          <w:szCs w:val="24"/>
          <w:lang w:val="ru-RU" w:eastAsia="ru-RU"/>
        </w:rPr>
        <w:drawing>
          <wp:anchor distT="0" distB="0" distL="114300" distR="114300" simplePos="0" relativeHeight="251663360" behindDoc="0" locked="0" layoutInCell="1" allowOverlap="1" wp14:anchorId="7BCA82CF" wp14:editId="23093836">
            <wp:simplePos x="0" y="0"/>
            <wp:positionH relativeFrom="column">
              <wp:posOffset>3869690</wp:posOffset>
            </wp:positionH>
            <wp:positionV relativeFrom="paragraph">
              <wp:posOffset>206375</wp:posOffset>
            </wp:positionV>
            <wp:extent cx="2103120" cy="2857500"/>
            <wp:effectExtent l="0" t="0" r="0" b="0"/>
            <wp:wrapNone/>
            <wp:docPr id="598721413" name="Picture 1" descr="Logo_USM — Moldov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 Moldova State Univers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2857500"/>
                    </a:xfrm>
                    <a:prstGeom prst="rect">
                      <a:avLst/>
                    </a:prstGeom>
                    <a:noFill/>
                    <a:ln>
                      <a:noFill/>
                    </a:ln>
                  </pic:spPr>
                </pic:pic>
              </a:graphicData>
            </a:graphic>
          </wp:anchor>
        </w:drawing>
      </w:r>
      <w:r w:rsidR="006A3977" w:rsidRPr="00031651">
        <w:rPr>
          <w:rFonts w:ascii="Times New Roman" w:hAnsi="Times New Roman" w:cs="Times New Roman"/>
          <w:b/>
          <w:bCs/>
          <w:sz w:val="24"/>
          <w:szCs w:val="24"/>
        </w:rPr>
        <w:t>INDICE</w:t>
      </w:r>
      <w:r w:rsidR="006A3977" w:rsidRPr="00031651">
        <w:rPr>
          <w:rFonts w:ascii="Times New Roman" w:hAnsi="Times New Roman" w:cs="Times New Roman"/>
          <w:b/>
          <w:bCs/>
          <w:sz w:val="28"/>
          <w:szCs w:val="32"/>
          <w:lang w:val="en-US"/>
        </w:rPr>
        <w:t xml:space="preserve"> </w:t>
      </w:r>
      <w:r w:rsidR="002735D2" w:rsidRPr="00031651">
        <w:rPr>
          <w:rFonts w:ascii="Times New Roman" w:hAnsi="Times New Roman" w:cs="Times New Roman"/>
          <w:b/>
          <w:bCs/>
          <w:sz w:val="24"/>
          <w:szCs w:val="28"/>
          <w:lang w:val="en-US"/>
        </w:rPr>
        <w:t>TABELAR</w:t>
      </w:r>
    </w:p>
    <w:p w14:paraId="7EBD50A4" w14:textId="77777777" w:rsidR="00672C0E" w:rsidRPr="00031651" w:rsidRDefault="00672C0E" w:rsidP="00672C0E">
      <w:pPr>
        <w:rPr>
          <w:rFonts w:ascii="Times New Roman" w:hAnsi="Times New Roman" w:cs="Times New Roman"/>
          <w:szCs w:val="24"/>
        </w:rPr>
      </w:pPr>
    </w:p>
    <w:p w14:paraId="3FCB9312" w14:textId="77777777" w:rsidR="00672C0E" w:rsidRPr="00031651" w:rsidRDefault="00672C0E" w:rsidP="00672C0E">
      <w:pPr>
        <w:rPr>
          <w:rFonts w:ascii="Times New Roman" w:hAnsi="Times New Roman" w:cs="Times New Roman"/>
          <w:szCs w:val="24"/>
        </w:rPr>
      </w:pPr>
    </w:p>
    <w:p w14:paraId="7FD5FE2A" w14:textId="77777777" w:rsidR="00672C0E" w:rsidRPr="00031651" w:rsidRDefault="00672C0E" w:rsidP="00672C0E">
      <w:pPr>
        <w:rPr>
          <w:rFonts w:ascii="Times New Roman" w:hAnsi="Times New Roman" w:cs="Times New Roman"/>
          <w:szCs w:val="24"/>
        </w:rPr>
      </w:pPr>
    </w:p>
    <w:p w14:paraId="4F848F49" w14:textId="77777777" w:rsidR="00672C0E" w:rsidRPr="00031651" w:rsidRDefault="00672C0E" w:rsidP="00672C0E">
      <w:pPr>
        <w:rPr>
          <w:rFonts w:ascii="Times New Roman" w:hAnsi="Times New Roman" w:cs="Times New Roman"/>
          <w:szCs w:val="24"/>
        </w:rPr>
      </w:pPr>
    </w:p>
    <w:p w14:paraId="2B79D171" w14:textId="77777777" w:rsidR="00672C0E" w:rsidRPr="00031651" w:rsidRDefault="00672C0E" w:rsidP="00672C0E">
      <w:pPr>
        <w:rPr>
          <w:rFonts w:ascii="Times New Roman" w:hAnsi="Times New Roman" w:cs="Times New Roman"/>
          <w:szCs w:val="24"/>
        </w:rPr>
      </w:pPr>
    </w:p>
    <w:p w14:paraId="7B64A16E" w14:textId="77777777" w:rsidR="00672C0E" w:rsidRPr="00031651" w:rsidRDefault="00672C0E" w:rsidP="00672C0E">
      <w:pPr>
        <w:rPr>
          <w:rFonts w:ascii="Times New Roman" w:hAnsi="Times New Roman" w:cs="Times New Roman"/>
          <w:szCs w:val="24"/>
        </w:rPr>
      </w:pPr>
    </w:p>
    <w:p w14:paraId="5E9200CE" w14:textId="77777777" w:rsidR="00672C0E" w:rsidRPr="00031651" w:rsidRDefault="00672C0E" w:rsidP="00672C0E">
      <w:pPr>
        <w:rPr>
          <w:rFonts w:ascii="Times New Roman" w:hAnsi="Times New Roman" w:cs="Times New Roman"/>
          <w:szCs w:val="24"/>
        </w:rPr>
      </w:pPr>
    </w:p>
    <w:p w14:paraId="2235C4D1" w14:textId="77777777" w:rsidR="00672C0E" w:rsidRPr="00031651" w:rsidRDefault="00672C0E" w:rsidP="00672C0E">
      <w:pPr>
        <w:rPr>
          <w:rFonts w:ascii="Times New Roman" w:hAnsi="Times New Roman" w:cs="Times New Roman"/>
          <w:szCs w:val="24"/>
        </w:rPr>
      </w:pPr>
    </w:p>
    <w:p w14:paraId="03CC4193" w14:textId="77777777" w:rsidR="00672C0E" w:rsidRPr="00031651" w:rsidRDefault="00672C0E" w:rsidP="00672C0E">
      <w:pPr>
        <w:rPr>
          <w:rFonts w:ascii="Times New Roman" w:hAnsi="Times New Roman" w:cs="Times New Roman"/>
          <w:szCs w:val="24"/>
        </w:rPr>
      </w:pPr>
    </w:p>
    <w:p w14:paraId="4DFC47FE" w14:textId="77777777" w:rsidR="00672C0E" w:rsidRPr="00031651" w:rsidRDefault="00672C0E" w:rsidP="00672C0E">
      <w:pPr>
        <w:rPr>
          <w:rFonts w:ascii="Times New Roman" w:hAnsi="Times New Roman" w:cs="Times New Roman"/>
          <w:szCs w:val="24"/>
        </w:rPr>
      </w:pPr>
    </w:p>
    <w:p w14:paraId="6262BFD3" w14:textId="77777777" w:rsidR="00672C0E" w:rsidRPr="00031651" w:rsidRDefault="00672C0E" w:rsidP="00672C0E">
      <w:pPr>
        <w:rPr>
          <w:rFonts w:ascii="Times New Roman" w:hAnsi="Times New Roman" w:cs="Times New Roman"/>
          <w:szCs w:val="24"/>
        </w:rPr>
      </w:pPr>
    </w:p>
    <w:p w14:paraId="0165F8B8" w14:textId="77777777" w:rsidR="00672C0E" w:rsidRPr="00031651" w:rsidRDefault="00672C0E" w:rsidP="00672C0E">
      <w:pPr>
        <w:spacing w:before="100" w:beforeAutospacing="1" w:after="100" w:afterAutospacing="1" w:line="240" w:lineRule="auto"/>
        <w:rPr>
          <w:rFonts w:ascii="Times New Roman" w:eastAsia="Times New Roman" w:hAnsi="Times New Roman" w:cs="Times New Roman"/>
          <w:color w:val="000000"/>
          <w:kern w:val="0"/>
          <w:szCs w:val="24"/>
          <w:lang w:eastAsia="ro-MD"/>
          <w14:ligatures w14:val="none"/>
        </w:rPr>
      </w:pPr>
      <w:r w:rsidRPr="00031651">
        <w:rPr>
          <w:rFonts w:ascii="Times New Roman" w:eastAsia="Times New Roman" w:hAnsi="Times New Roman" w:cs="Times New Roman"/>
          <w:color w:val="000000"/>
          <w:kern w:val="0"/>
          <w:szCs w:val="24"/>
          <w:lang w:eastAsia="ro-MD"/>
          <w14:ligatures w14:val="none"/>
        </w:rPr>
        <w:t>Efectuat de: Cliovan Alina, master, grupa 7</w:t>
      </w:r>
    </w:p>
    <w:p w14:paraId="40035002" w14:textId="00E655F3" w:rsidR="00672C0E" w:rsidRPr="00031651" w:rsidRDefault="00672C0E" w:rsidP="00672C0E">
      <w:pPr>
        <w:spacing w:before="100" w:beforeAutospacing="1" w:after="100" w:afterAutospacing="1" w:line="240" w:lineRule="auto"/>
        <w:rPr>
          <w:rFonts w:ascii="Times New Roman" w:eastAsia="Times New Roman" w:hAnsi="Times New Roman" w:cs="Times New Roman"/>
          <w:color w:val="000000"/>
          <w:kern w:val="0"/>
          <w:szCs w:val="24"/>
          <w:lang w:eastAsia="ro-MD"/>
          <w14:ligatures w14:val="none"/>
        </w:rPr>
      </w:pPr>
      <w:r w:rsidRPr="00031651">
        <w:rPr>
          <w:rFonts w:ascii="Times New Roman" w:eastAsia="Times New Roman" w:hAnsi="Times New Roman" w:cs="Times New Roman"/>
          <w:color w:val="000000"/>
          <w:kern w:val="0"/>
          <w:szCs w:val="24"/>
          <w:lang w:eastAsia="ro-MD"/>
          <w14:ligatures w14:val="none"/>
        </w:rPr>
        <w:t xml:space="preserve">Conducător: </w:t>
      </w:r>
      <w:r w:rsidR="00AA2F6D" w:rsidRPr="00031651">
        <w:rPr>
          <w:rFonts w:ascii="Times New Roman" w:eastAsia="Times New Roman" w:hAnsi="Times New Roman" w:cs="Times New Roman"/>
          <w:color w:val="000000"/>
          <w:kern w:val="0"/>
          <w:szCs w:val="24"/>
          <w:lang w:eastAsia="ro-MD"/>
          <w14:ligatures w14:val="none"/>
        </w:rPr>
        <w:t xml:space="preserve">Sârcu </w:t>
      </w:r>
      <w:r w:rsidR="004956FA" w:rsidRPr="00031651">
        <w:rPr>
          <w:rFonts w:ascii="Times New Roman" w:eastAsia="Times New Roman" w:hAnsi="Times New Roman" w:cs="Times New Roman"/>
          <w:color w:val="000000"/>
          <w:kern w:val="0"/>
          <w:szCs w:val="24"/>
          <w:lang w:eastAsia="ro-MD"/>
          <w14:ligatures w14:val="none"/>
        </w:rPr>
        <w:t>D</w:t>
      </w:r>
      <w:r w:rsidR="00AA2F6D" w:rsidRPr="00031651">
        <w:rPr>
          <w:rFonts w:ascii="Times New Roman" w:eastAsia="Times New Roman" w:hAnsi="Times New Roman" w:cs="Times New Roman"/>
          <w:color w:val="000000"/>
          <w:kern w:val="0"/>
          <w:szCs w:val="24"/>
          <w:lang w:eastAsia="ro-MD"/>
          <w14:ligatures w14:val="none"/>
        </w:rPr>
        <w:t>iana</w:t>
      </w:r>
      <w:r w:rsidRPr="00031651">
        <w:rPr>
          <w:rFonts w:ascii="Times New Roman" w:eastAsia="Times New Roman" w:hAnsi="Times New Roman" w:cs="Times New Roman"/>
          <w:color w:val="000000"/>
          <w:kern w:val="0"/>
          <w:szCs w:val="24"/>
          <w:lang w:eastAsia="ro-MD"/>
          <w14:ligatures w14:val="none"/>
        </w:rPr>
        <w:t xml:space="preserve">  </w:t>
      </w:r>
    </w:p>
    <w:p w14:paraId="5A213A29" w14:textId="77777777" w:rsidR="00672C0E" w:rsidRPr="00031651" w:rsidRDefault="00672C0E" w:rsidP="00672C0E">
      <w:pPr>
        <w:rPr>
          <w:rFonts w:ascii="Times New Roman" w:hAnsi="Times New Roman" w:cs="Times New Roman"/>
          <w:szCs w:val="24"/>
        </w:rPr>
      </w:pPr>
    </w:p>
    <w:p w14:paraId="47C12F9B" w14:textId="77777777" w:rsidR="00672C0E" w:rsidRPr="00031651" w:rsidRDefault="00672C0E" w:rsidP="00672C0E">
      <w:pPr>
        <w:jc w:val="center"/>
        <w:rPr>
          <w:rFonts w:ascii="Times New Roman" w:hAnsi="Times New Roman" w:cs="Times New Roman"/>
          <w:b/>
          <w:bCs/>
          <w:szCs w:val="24"/>
        </w:rPr>
      </w:pPr>
      <w:r w:rsidRPr="00031651">
        <w:rPr>
          <w:rFonts w:ascii="Times New Roman" w:hAnsi="Times New Roman" w:cs="Times New Roman"/>
          <w:b/>
          <w:bCs/>
          <w:szCs w:val="24"/>
        </w:rPr>
        <w:t>Chișinău 2025</w:t>
      </w:r>
    </w:p>
    <w:p w14:paraId="01185FAE" w14:textId="77777777" w:rsidR="00E81D22" w:rsidRPr="00031651" w:rsidRDefault="00E81D22">
      <w:pPr>
        <w:rPr>
          <w:rFonts w:ascii="Times New Roman" w:hAnsi="Times New Roman" w:cs="Times New Roman"/>
        </w:rPr>
      </w:pPr>
    </w:p>
    <w:p w14:paraId="04A8546B" w14:textId="77777777" w:rsidR="00D81384" w:rsidRPr="00031651" w:rsidRDefault="00D81384">
      <w:pPr>
        <w:rPr>
          <w:rFonts w:ascii="Times New Roman" w:hAnsi="Times New Roman" w:cs="Times New Roman"/>
          <w:lang w:val="ro-RO"/>
        </w:rPr>
      </w:pPr>
    </w:p>
    <w:p w14:paraId="48739C57" w14:textId="77777777" w:rsidR="00683E79" w:rsidRPr="00031651" w:rsidRDefault="00683E79">
      <w:pPr>
        <w:rPr>
          <w:rFonts w:ascii="Times New Roman" w:hAnsi="Times New Roman" w:cs="Times New Roman"/>
          <w:lang w:val="ro-RO"/>
        </w:rPr>
        <w:sectPr w:rsidR="00683E79" w:rsidRPr="00031651" w:rsidSect="00683E79">
          <w:pgSz w:w="11906" w:h="16838"/>
          <w:pgMar w:top="1134" w:right="1134" w:bottom="1134" w:left="1134" w:header="709" w:footer="709" w:gutter="0"/>
          <w:cols w:space="708"/>
          <w:docGrid w:linePitch="360"/>
        </w:sectPr>
      </w:pPr>
    </w:p>
    <w:p w14:paraId="43BD8CA2" w14:textId="303862FE" w:rsidR="00514C36" w:rsidRPr="00031651" w:rsidRDefault="008C47C0" w:rsidP="00514C36">
      <w:pPr>
        <w:rPr>
          <w:rFonts w:ascii="Times New Roman" w:hAnsi="Times New Roman" w:cs="Times New Roman"/>
          <w:b/>
          <w:bCs/>
          <w:sz w:val="24"/>
          <w:szCs w:val="24"/>
          <w:lang w:val="ro-RO"/>
        </w:rPr>
      </w:pPr>
      <w:r w:rsidRPr="00031651">
        <w:rPr>
          <w:rFonts w:ascii="Times New Roman" w:hAnsi="Times New Roman" w:cs="Times New Roman"/>
          <w:b/>
          <w:bCs/>
          <w:sz w:val="24"/>
          <w:szCs w:val="24"/>
        </w:rPr>
        <w:lastRenderedPageBreak/>
        <w:t xml:space="preserve">Hotărâri contra </w:t>
      </w:r>
      <w:r w:rsidR="00013ECC" w:rsidRPr="00031651">
        <w:rPr>
          <w:rFonts w:ascii="Times New Roman" w:hAnsi="Times New Roman" w:cs="Times New Roman"/>
          <w:b/>
          <w:bCs/>
          <w:sz w:val="24"/>
          <w:szCs w:val="24"/>
        </w:rPr>
        <w:t xml:space="preserve">Republicii Moldova </w:t>
      </w:r>
    </w:p>
    <w:tbl>
      <w:tblPr>
        <w:tblStyle w:val="-1"/>
        <w:tblW w:w="16052" w:type="dxa"/>
        <w:tblInd w:w="-635" w:type="dxa"/>
        <w:tblLayout w:type="fixed"/>
        <w:tblLook w:val="04A0" w:firstRow="1" w:lastRow="0" w:firstColumn="1" w:lastColumn="0" w:noHBand="0" w:noVBand="1"/>
      </w:tblPr>
      <w:tblGrid>
        <w:gridCol w:w="636"/>
        <w:gridCol w:w="1525"/>
        <w:gridCol w:w="1633"/>
        <w:gridCol w:w="1202"/>
        <w:gridCol w:w="1559"/>
        <w:gridCol w:w="6804"/>
        <w:gridCol w:w="2693"/>
      </w:tblGrid>
      <w:tr w:rsidR="00C956AD" w:rsidRPr="00031651" w14:paraId="31310202" w14:textId="77777777" w:rsidTr="00EB15C3">
        <w:trPr>
          <w:cnfStyle w:val="100000000000" w:firstRow="1" w:lastRow="0" w:firstColumn="0" w:lastColumn="0" w:oddVBand="0" w:evenVBand="0" w:oddHBand="0" w:evenHBand="0" w:firstRowFirstColumn="0" w:firstRowLastColumn="0" w:lastRowFirstColumn="0" w:lastRowLastColumn="0"/>
          <w:trHeight w:val="1768"/>
        </w:trPr>
        <w:tc>
          <w:tcPr>
            <w:cnfStyle w:val="001000000000" w:firstRow="0" w:lastRow="0" w:firstColumn="1" w:lastColumn="0" w:oddVBand="0" w:evenVBand="0" w:oddHBand="0" w:evenHBand="0" w:firstRowFirstColumn="0" w:firstRowLastColumn="0" w:lastRowFirstColumn="0" w:lastRowLastColumn="0"/>
            <w:tcW w:w="636" w:type="dxa"/>
            <w:shd w:val="clear" w:color="auto" w:fill="D0CECE" w:themeFill="background2" w:themeFillShade="E6"/>
            <w:vAlign w:val="center"/>
          </w:tcPr>
          <w:p w14:paraId="59C90947" w14:textId="77777777" w:rsidR="00514C36" w:rsidRPr="00031651" w:rsidRDefault="00514C36"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Art.</w:t>
            </w:r>
          </w:p>
        </w:tc>
        <w:tc>
          <w:tcPr>
            <w:tcW w:w="1525" w:type="dxa"/>
            <w:shd w:val="clear" w:color="auto" w:fill="D0CECE" w:themeFill="background2" w:themeFillShade="E6"/>
            <w:vAlign w:val="center"/>
          </w:tcPr>
          <w:p w14:paraId="1075CE40" w14:textId="77777777" w:rsidR="00514C36" w:rsidRPr="00031651" w:rsidRDefault="00514C36" w:rsidP="00B04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Domeniu</w:t>
            </w:r>
          </w:p>
        </w:tc>
        <w:tc>
          <w:tcPr>
            <w:tcW w:w="1633" w:type="dxa"/>
            <w:shd w:val="clear" w:color="auto" w:fill="D0CECE" w:themeFill="background2" w:themeFillShade="E6"/>
            <w:vAlign w:val="center"/>
          </w:tcPr>
          <w:p w14:paraId="12761E7B" w14:textId="77777777" w:rsidR="00514C36" w:rsidRPr="00031651" w:rsidRDefault="00514C36" w:rsidP="00B04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Data/Cauza</w:t>
            </w:r>
          </w:p>
        </w:tc>
        <w:tc>
          <w:tcPr>
            <w:tcW w:w="1202" w:type="dxa"/>
            <w:shd w:val="clear" w:color="auto" w:fill="D0CECE" w:themeFill="background2" w:themeFillShade="E6"/>
            <w:vAlign w:val="center"/>
          </w:tcPr>
          <w:p w14:paraId="587C151F" w14:textId="77777777" w:rsidR="00514C36" w:rsidRPr="00031651" w:rsidRDefault="00514C36" w:rsidP="00B04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031651">
              <w:rPr>
                <w:rFonts w:ascii="Times New Roman" w:hAnsi="Times New Roman" w:cs="Times New Roman"/>
                <w:sz w:val="24"/>
                <w:szCs w:val="24"/>
                <w:lang w:val="ro-RO"/>
              </w:rPr>
              <w:t>Pct. din hot</w:t>
            </w:r>
            <w:r w:rsidRPr="00031651">
              <w:rPr>
                <w:rFonts w:ascii="Times New Roman" w:hAnsi="Times New Roman" w:cs="Times New Roman"/>
              </w:rPr>
              <w:t>ărâre</w:t>
            </w:r>
          </w:p>
        </w:tc>
        <w:tc>
          <w:tcPr>
            <w:tcW w:w="1559" w:type="dxa"/>
            <w:shd w:val="clear" w:color="auto" w:fill="D0CECE" w:themeFill="background2" w:themeFillShade="E6"/>
            <w:vAlign w:val="center"/>
          </w:tcPr>
          <w:p w14:paraId="2B432832" w14:textId="77777777" w:rsidR="00514C36" w:rsidRPr="00031651" w:rsidRDefault="00514C36" w:rsidP="00B04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Cuvinte-cheie</w:t>
            </w:r>
          </w:p>
        </w:tc>
        <w:tc>
          <w:tcPr>
            <w:tcW w:w="6804" w:type="dxa"/>
            <w:shd w:val="clear" w:color="auto" w:fill="D0CECE" w:themeFill="background2" w:themeFillShade="E6"/>
            <w:vAlign w:val="center"/>
          </w:tcPr>
          <w:p w14:paraId="4A69C926" w14:textId="77777777" w:rsidR="00514C36" w:rsidRPr="00031651" w:rsidRDefault="00514C36" w:rsidP="00B04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Extras din hotărâre</w:t>
            </w:r>
          </w:p>
        </w:tc>
        <w:tc>
          <w:tcPr>
            <w:tcW w:w="2693" w:type="dxa"/>
            <w:shd w:val="clear" w:color="auto" w:fill="D0CECE" w:themeFill="background2" w:themeFillShade="E6"/>
            <w:vAlign w:val="center"/>
          </w:tcPr>
          <w:p w14:paraId="57569F7A" w14:textId="77777777" w:rsidR="00514C36" w:rsidRPr="00031651" w:rsidRDefault="00514C36" w:rsidP="00B04F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Apreciere/ Satisfacție</w:t>
            </w:r>
          </w:p>
        </w:tc>
      </w:tr>
      <w:tr w:rsidR="00514C36" w:rsidRPr="00031651" w14:paraId="2EBBFE7C"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4026D5C7" w14:textId="669F6E32" w:rsidR="00514C36" w:rsidRPr="00031651" w:rsidRDefault="004805AE"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6</w:t>
            </w:r>
            <w:r w:rsidR="00DA18D4" w:rsidRPr="00031651">
              <w:rPr>
                <w:rFonts w:ascii="Times New Roman" w:hAnsi="Times New Roman" w:cs="Times New Roman"/>
                <w:sz w:val="24"/>
                <w:szCs w:val="24"/>
                <w:lang w:val="ro-RO"/>
              </w:rPr>
              <w:t xml:space="preserve"> </w:t>
            </w:r>
            <w:r w:rsidR="00DA18D4" w:rsidRPr="00031651">
              <w:rPr>
                <w:rFonts w:ascii="Times New Roman" w:hAnsi="Times New Roman" w:cs="Times New Roman"/>
                <w:sz w:val="24"/>
                <w:szCs w:val="24"/>
              </w:rPr>
              <w:t>§ 1</w:t>
            </w:r>
          </w:p>
        </w:tc>
        <w:tc>
          <w:tcPr>
            <w:tcW w:w="1525" w:type="dxa"/>
          </w:tcPr>
          <w:p w14:paraId="1D5E2223" w14:textId="77777777" w:rsidR="00514C36" w:rsidRPr="00031651" w:rsidRDefault="001C5DCD"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Dreptul </w:t>
            </w:r>
            <w:r w:rsidR="00944C34" w:rsidRPr="00031651">
              <w:rPr>
                <w:rFonts w:ascii="Times New Roman" w:hAnsi="Times New Roman" w:cs="Times New Roman"/>
                <w:sz w:val="24"/>
                <w:szCs w:val="24"/>
                <w:lang w:val="ro-RO"/>
              </w:rPr>
              <w:t>la un</w:t>
            </w:r>
            <w:r w:rsidRPr="00031651">
              <w:rPr>
                <w:rFonts w:ascii="Times New Roman" w:hAnsi="Times New Roman" w:cs="Times New Roman"/>
                <w:sz w:val="24"/>
                <w:szCs w:val="24"/>
                <w:lang w:val="ro-RO"/>
              </w:rPr>
              <w:t xml:space="preserve"> proces </w:t>
            </w:r>
            <w:r w:rsidR="00944C34" w:rsidRPr="00031651">
              <w:rPr>
                <w:rFonts w:ascii="Times New Roman" w:hAnsi="Times New Roman" w:cs="Times New Roman"/>
                <w:sz w:val="24"/>
                <w:szCs w:val="24"/>
                <w:lang w:val="ro-RO"/>
              </w:rPr>
              <w:t>echitabil</w:t>
            </w:r>
          </w:p>
          <w:p w14:paraId="4C3A3378" w14:textId="77777777" w:rsidR="00F03FD5" w:rsidRPr="00031651" w:rsidRDefault="00F03FD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84CB4CB" w14:textId="6C9A0901" w:rsidR="00F03FD5" w:rsidRPr="00031651" w:rsidRDefault="00F03FD5" w:rsidP="00A557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Aplicarea art.6 sub aspect civil</w:t>
            </w:r>
          </w:p>
        </w:tc>
        <w:tc>
          <w:tcPr>
            <w:tcW w:w="1633" w:type="dxa"/>
          </w:tcPr>
          <w:p w14:paraId="586DAD26" w14:textId="5BD86641" w:rsidR="00550391" w:rsidRPr="00031651" w:rsidRDefault="006C6F7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21766/22</w:t>
            </w:r>
          </w:p>
          <w:p w14:paraId="37C77E41" w14:textId="226121E1" w:rsidR="009879DE" w:rsidRPr="00031651" w:rsidRDefault="009879D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9/01/2025</w:t>
            </w:r>
          </w:p>
          <w:p w14:paraId="046C64F0" w14:textId="392FA9D1" w:rsidR="00514C36" w:rsidRPr="00031651" w:rsidRDefault="00B7696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Cavca </w:t>
            </w:r>
            <w:r w:rsidR="00550391" w:rsidRPr="00031651">
              <w:rPr>
                <w:rFonts w:ascii="Times New Roman" w:hAnsi="Times New Roman" w:cs="Times New Roman"/>
                <w:sz w:val="24"/>
                <w:szCs w:val="24"/>
                <w:lang w:val="ro-RO"/>
              </w:rPr>
              <w:t>contra</w:t>
            </w:r>
            <w:r w:rsidR="00926D60" w:rsidRPr="00031651">
              <w:rPr>
                <w:rFonts w:ascii="Times New Roman" w:hAnsi="Times New Roman" w:cs="Times New Roman"/>
                <w:sz w:val="24"/>
                <w:szCs w:val="24"/>
                <w:lang w:val="ro-RO"/>
              </w:rPr>
              <w:t xml:space="preserve"> Republica Moldova </w:t>
            </w:r>
          </w:p>
        </w:tc>
        <w:tc>
          <w:tcPr>
            <w:tcW w:w="1202" w:type="dxa"/>
          </w:tcPr>
          <w:p w14:paraId="4D68FD64" w14:textId="2515D589" w:rsidR="00514C36" w:rsidRPr="00031651" w:rsidRDefault="00474F6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37,</w:t>
            </w:r>
            <w:r w:rsidR="00865AE6" w:rsidRPr="00031651">
              <w:rPr>
                <w:rFonts w:ascii="Times New Roman" w:hAnsi="Times New Roman" w:cs="Times New Roman"/>
                <w:sz w:val="24"/>
                <w:szCs w:val="24"/>
                <w:lang w:val="ro-RO"/>
              </w:rPr>
              <w:t xml:space="preserve">38, </w:t>
            </w:r>
            <w:r w:rsidRPr="00031651">
              <w:rPr>
                <w:rFonts w:ascii="Times New Roman" w:hAnsi="Times New Roman" w:cs="Times New Roman"/>
                <w:sz w:val="24"/>
                <w:szCs w:val="24"/>
                <w:lang w:val="ro-RO"/>
              </w:rPr>
              <w:t>43,44,45,46,63</w:t>
            </w:r>
            <w:r w:rsidR="008D1CF2" w:rsidRPr="00031651">
              <w:rPr>
                <w:rFonts w:ascii="Times New Roman" w:hAnsi="Times New Roman" w:cs="Times New Roman"/>
                <w:sz w:val="24"/>
                <w:szCs w:val="24"/>
                <w:lang w:val="ro-RO"/>
              </w:rPr>
              <w:t>,64,71</w:t>
            </w:r>
          </w:p>
        </w:tc>
        <w:tc>
          <w:tcPr>
            <w:tcW w:w="1559" w:type="dxa"/>
          </w:tcPr>
          <w:p w14:paraId="4FCDB3A1" w14:textId="406945AD" w:rsidR="00514C36" w:rsidRPr="00031651" w:rsidRDefault="00DD4CC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Test de integritate, funcționar public, </w:t>
            </w:r>
            <w:r w:rsidR="00237035" w:rsidRPr="00031651">
              <w:rPr>
                <w:rFonts w:ascii="Times New Roman" w:hAnsi="Times New Roman" w:cs="Times New Roman"/>
                <w:sz w:val="24"/>
                <w:szCs w:val="24"/>
                <w:lang w:val="ro-RO"/>
              </w:rPr>
              <w:t>garanții procesuale</w:t>
            </w:r>
            <w:r w:rsidR="00474F6C" w:rsidRPr="00031651">
              <w:rPr>
                <w:rFonts w:ascii="Times New Roman" w:hAnsi="Times New Roman" w:cs="Times New Roman"/>
                <w:sz w:val="24"/>
                <w:szCs w:val="24"/>
                <w:lang w:val="ro-RO"/>
              </w:rPr>
              <w:t>,</w:t>
            </w:r>
            <w:r w:rsidR="00D14614" w:rsidRPr="00031651">
              <w:rPr>
                <w:rFonts w:ascii="Times New Roman" w:hAnsi="Times New Roman" w:cs="Times New Roman"/>
                <w:sz w:val="24"/>
                <w:szCs w:val="24"/>
                <w:lang w:val="ro-RO"/>
              </w:rPr>
              <w:t xml:space="preserve"> a</w:t>
            </w:r>
            <w:r w:rsidR="00474F6C" w:rsidRPr="00031651">
              <w:rPr>
                <w:rFonts w:ascii="Times New Roman" w:hAnsi="Times New Roman" w:cs="Times New Roman"/>
                <w:sz w:val="24"/>
                <w:szCs w:val="24"/>
                <w:lang w:val="ro-RO"/>
              </w:rPr>
              <w:t>plicarea garanțiilor procesuale penale în cauze civile</w:t>
            </w:r>
          </w:p>
        </w:tc>
        <w:tc>
          <w:tcPr>
            <w:tcW w:w="6804" w:type="dxa"/>
          </w:tcPr>
          <w:p w14:paraId="6C14E52C" w14:textId="77777777" w:rsidR="00E55EAA" w:rsidRPr="00031651" w:rsidRDefault="00182466"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lang w:val="ro-RO"/>
              </w:rPr>
              <w:t>37</w:t>
            </w:r>
            <w:r w:rsidRPr="00031651">
              <w:rPr>
                <w:rFonts w:ascii="Times New Roman" w:hAnsi="Times New Roman" w:cs="Times New Roman"/>
                <w:sz w:val="24"/>
                <w:szCs w:val="24"/>
                <w:lang w:val="ro-RO"/>
              </w:rPr>
              <w:t xml:space="preserve">. </w:t>
            </w:r>
            <w:r w:rsidR="00134E50" w:rsidRPr="00031651">
              <w:rPr>
                <w:rFonts w:ascii="Times New Roman" w:hAnsi="Times New Roman" w:cs="Times New Roman"/>
                <w:sz w:val="24"/>
                <w:szCs w:val="24"/>
                <w:lang w:val="ro-RO"/>
              </w:rPr>
              <w:t xml:space="preserve">Curtea observă că </w:t>
            </w:r>
            <w:r w:rsidR="0047247D" w:rsidRPr="00031651">
              <w:rPr>
                <w:rFonts w:ascii="Times New Roman" w:hAnsi="Times New Roman" w:cs="Times New Roman"/>
                <w:sz w:val="24"/>
                <w:szCs w:val="24"/>
                <w:lang w:val="ro-RO"/>
              </w:rPr>
              <w:t xml:space="preserve">prezenta cauză privește </w:t>
            </w:r>
            <w:r w:rsidR="00C92583" w:rsidRPr="00031651">
              <w:rPr>
                <w:rFonts w:ascii="Times New Roman" w:hAnsi="Times New Roman" w:cs="Times New Roman"/>
                <w:sz w:val="24"/>
                <w:szCs w:val="24"/>
                <w:lang w:val="ro-RO"/>
              </w:rPr>
              <w:t xml:space="preserve">o contestație </w:t>
            </w:r>
            <w:r w:rsidR="00A53DAE" w:rsidRPr="00031651">
              <w:rPr>
                <w:rFonts w:ascii="Times New Roman" w:hAnsi="Times New Roman" w:cs="Times New Roman"/>
                <w:sz w:val="24"/>
                <w:szCs w:val="24"/>
                <w:lang w:val="ro-RO"/>
              </w:rPr>
              <w:t>împotriva unei sancțiuni disciplinare</w:t>
            </w:r>
            <w:r w:rsidR="00C011AD" w:rsidRPr="00031651">
              <w:rPr>
                <w:rFonts w:ascii="Times New Roman" w:hAnsi="Times New Roman" w:cs="Times New Roman"/>
                <w:sz w:val="24"/>
                <w:szCs w:val="24"/>
                <w:lang w:val="ro-RO"/>
              </w:rPr>
              <w:t xml:space="preserve"> aplicate reclamantului. </w:t>
            </w:r>
            <w:r w:rsidR="00E55EAA" w:rsidRPr="00031651">
              <w:rPr>
                <w:rFonts w:ascii="Times New Roman" w:hAnsi="Times New Roman" w:cs="Times New Roman"/>
                <w:sz w:val="24"/>
                <w:szCs w:val="24"/>
                <w:lang w:val="ro-RO"/>
              </w:rPr>
              <w:t>În ceea ce privește existența unui „drept”, Curtea constată că procedura internă era determinantă pentru drepturile reclamantului în măsura în care putea duce la anularea sancțiunii disciplinare, dacă recursul său era admis.</w:t>
            </w:r>
          </w:p>
          <w:p w14:paraId="400BA852" w14:textId="354CCDF0" w:rsidR="006114FA" w:rsidRPr="00031651" w:rsidRDefault="00865AE6"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lang w:val="ro-RO"/>
              </w:rPr>
              <w:t>38</w:t>
            </w:r>
            <w:r w:rsidRPr="00031651">
              <w:rPr>
                <w:rFonts w:ascii="Times New Roman" w:hAnsi="Times New Roman" w:cs="Times New Roman"/>
                <w:sz w:val="24"/>
                <w:szCs w:val="24"/>
                <w:lang w:val="ro-RO"/>
              </w:rPr>
              <w:t xml:space="preserve">. </w:t>
            </w:r>
            <w:r w:rsidR="00E55EAA" w:rsidRPr="00031651">
              <w:rPr>
                <w:rFonts w:ascii="Times New Roman" w:hAnsi="Times New Roman" w:cs="Times New Roman"/>
                <w:sz w:val="24"/>
                <w:szCs w:val="24"/>
                <w:lang w:val="ro-RO"/>
              </w:rPr>
              <w:t>În privința naturii „civile” a acestui drept, Curtea reține că legislația națională permite funcționarului public sancționat să conteste măsura în instanță, iar reclamantul a exercitat acest drept.</w:t>
            </w:r>
          </w:p>
          <w:p w14:paraId="29FC438B" w14:textId="77777777" w:rsidR="00B15C7C" w:rsidRPr="00031651" w:rsidRDefault="00E55EAA"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Prin urmare, articolul 6 este aplicabil sub aspectul său civil.</w:t>
            </w:r>
          </w:p>
          <w:p w14:paraId="5815657D" w14:textId="34B3AB51" w:rsidR="006114FA" w:rsidRPr="00031651" w:rsidRDefault="006E0495"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lang w:val="ro-RO"/>
              </w:rPr>
              <w:t>43</w:t>
            </w:r>
            <w:r w:rsidRPr="00031651">
              <w:rPr>
                <w:rFonts w:ascii="Times New Roman" w:hAnsi="Times New Roman" w:cs="Times New Roman"/>
                <w:sz w:val="24"/>
                <w:szCs w:val="24"/>
                <w:lang w:val="ro-RO"/>
              </w:rPr>
              <w:t xml:space="preserve">. </w:t>
            </w:r>
            <w:r w:rsidR="003F1737" w:rsidRPr="00031651">
              <w:rPr>
                <w:rFonts w:ascii="Times New Roman" w:hAnsi="Times New Roman" w:cs="Times New Roman"/>
                <w:sz w:val="24"/>
                <w:szCs w:val="24"/>
                <w:lang w:val="ro-RO"/>
              </w:rPr>
              <w:t>Aplicarea măsurilor speciale de investigații, în special r</w:t>
            </w:r>
            <w:r w:rsidRPr="00031651">
              <w:rPr>
                <w:rFonts w:ascii="Times New Roman" w:hAnsi="Times New Roman" w:cs="Times New Roman"/>
                <w:sz w:val="24"/>
                <w:szCs w:val="24"/>
                <w:lang w:val="ro-RO"/>
              </w:rPr>
              <w:t xml:space="preserve">ecursul la tehnici sub acoperire, prin sine însuși nu este contrar art.6. </w:t>
            </w:r>
            <w:r w:rsidR="004D7743" w:rsidRPr="00031651">
              <w:rPr>
                <w:rFonts w:ascii="Times New Roman" w:hAnsi="Times New Roman" w:cs="Times New Roman"/>
                <w:sz w:val="24"/>
                <w:szCs w:val="24"/>
                <w:lang w:val="ro-RO"/>
              </w:rPr>
              <w:t xml:space="preserve">Dar din cauza riscului la incitare, utilizarea lor trebuie </w:t>
            </w:r>
            <w:r w:rsidR="000C454C" w:rsidRPr="00031651">
              <w:rPr>
                <w:rFonts w:ascii="Times New Roman" w:hAnsi="Times New Roman" w:cs="Times New Roman"/>
                <w:sz w:val="24"/>
                <w:szCs w:val="24"/>
                <w:lang w:val="ro-RO"/>
              </w:rPr>
              <w:t xml:space="preserve">limitată de garanții clare și efective. </w:t>
            </w:r>
          </w:p>
          <w:p w14:paraId="7C8A806D" w14:textId="1427BC0F" w:rsidR="00331672" w:rsidRPr="00031651" w:rsidRDefault="00AA6B65"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lang w:val="ro-RO"/>
              </w:rPr>
              <w:t>44</w:t>
            </w:r>
            <w:r w:rsidRPr="00031651">
              <w:rPr>
                <w:rFonts w:ascii="Times New Roman" w:hAnsi="Times New Roman" w:cs="Times New Roman"/>
                <w:sz w:val="24"/>
                <w:szCs w:val="24"/>
                <w:lang w:val="ro-RO"/>
              </w:rPr>
              <w:t>.</w:t>
            </w:r>
            <w:r w:rsidR="00AC1138" w:rsidRPr="00031651">
              <w:rPr>
                <w:rFonts w:ascii="Times New Roman" w:hAnsi="Times New Roman" w:cs="Times New Roman"/>
                <w:sz w:val="24"/>
                <w:szCs w:val="24"/>
                <w:lang w:val="ro-RO"/>
              </w:rPr>
              <w:t xml:space="preserve"> </w:t>
            </w:r>
            <w:r w:rsidR="00331672" w:rsidRPr="00031651">
              <w:rPr>
                <w:rFonts w:ascii="Times New Roman" w:hAnsi="Times New Roman" w:cs="Times New Roman"/>
                <w:sz w:val="24"/>
                <w:szCs w:val="24"/>
                <w:lang w:val="ro-RO"/>
              </w:rPr>
              <w:t>Curtea consideră că, pentru a-și defini abordarea în prezenta cauză, trebuie mai întâi să examineze întrebarea dacă</w:t>
            </w:r>
            <w:r w:rsidR="0020336F" w:rsidRPr="00031651">
              <w:rPr>
                <w:rFonts w:ascii="Times New Roman" w:hAnsi="Times New Roman" w:cs="Times New Roman"/>
                <w:sz w:val="24"/>
                <w:szCs w:val="24"/>
                <w:lang w:val="ro-RO"/>
              </w:rPr>
              <w:t xml:space="preserve"> </w:t>
            </w:r>
            <w:r w:rsidR="00F87F0C" w:rsidRPr="00031651">
              <w:rPr>
                <w:rFonts w:ascii="Times New Roman" w:hAnsi="Times New Roman" w:cs="Times New Roman"/>
                <w:sz w:val="24"/>
                <w:szCs w:val="24"/>
                <w:lang w:val="ro-RO"/>
              </w:rPr>
              <w:t>și în caz</w:t>
            </w:r>
            <w:r w:rsidR="0020336F" w:rsidRPr="00031651">
              <w:rPr>
                <w:rFonts w:ascii="Times New Roman" w:hAnsi="Times New Roman" w:cs="Times New Roman"/>
                <w:sz w:val="24"/>
                <w:szCs w:val="24"/>
                <w:lang w:val="ro-RO"/>
              </w:rPr>
              <w:t xml:space="preserve"> </w:t>
            </w:r>
            <w:r w:rsidR="00F87F0C" w:rsidRPr="00031651">
              <w:rPr>
                <w:rFonts w:ascii="Times New Roman" w:hAnsi="Times New Roman" w:cs="Times New Roman"/>
                <w:sz w:val="24"/>
                <w:szCs w:val="24"/>
                <w:lang w:val="ro-RO"/>
              </w:rPr>
              <w:t>afirmativ, în ce măsură garanțiile dreptului la un proces echitabil</w:t>
            </w:r>
            <w:r w:rsidR="00D04130" w:rsidRPr="00031651">
              <w:rPr>
                <w:rFonts w:ascii="Times New Roman" w:hAnsi="Times New Roman" w:cs="Times New Roman"/>
                <w:sz w:val="24"/>
                <w:szCs w:val="24"/>
                <w:lang w:val="ro-RO"/>
              </w:rPr>
              <w:t xml:space="preserve"> privind utilizarea </w:t>
            </w:r>
            <w:r w:rsidR="007122CC" w:rsidRPr="00031651">
              <w:rPr>
                <w:rFonts w:ascii="Times New Roman" w:hAnsi="Times New Roman" w:cs="Times New Roman"/>
                <w:sz w:val="24"/>
                <w:szCs w:val="24"/>
                <w:lang w:val="ro-RO"/>
              </w:rPr>
              <w:t>agenților provocatori</w:t>
            </w:r>
            <w:r w:rsidR="00035B92" w:rsidRPr="00031651">
              <w:rPr>
                <w:rFonts w:ascii="Times New Roman" w:hAnsi="Times New Roman" w:cs="Times New Roman"/>
                <w:sz w:val="24"/>
                <w:szCs w:val="24"/>
                <w:lang w:val="ro-RO"/>
              </w:rPr>
              <w:t>, aplicabile procedurilor penale, pot fi relevante pentru procedurile civile care au ca rezultat eliberarea din funcție, în contextul testării in</w:t>
            </w:r>
            <w:r w:rsidR="00F06921" w:rsidRPr="00031651">
              <w:rPr>
                <w:rFonts w:ascii="Times New Roman" w:hAnsi="Times New Roman" w:cs="Times New Roman"/>
                <w:sz w:val="24"/>
                <w:szCs w:val="24"/>
                <w:lang w:val="ro-RO"/>
              </w:rPr>
              <w:t>t</w:t>
            </w:r>
            <w:r w:rsidR="00035B92" w:rsidRPr="00031651">
              <w:rPr>
                <w:rFonts w:ascii="Times New Roman" w:hAnsi="Times New Roman" w:cs="Times New Roman"/>
                <w:sz w:val="24"/>
                <w:szCs w:val="24"/>
                <w:lang w:val="ro-RO"/>
              </w:rPr>
              <w:t>egrității profesionale a funcționarilor publici, pretins</w:t>
            </w:r>
            <w:r w:rsidR="00F06921" w:rsidRPr="00031651">
              <w:rPr>
                <w:rFonts w:ascii="Times New Roman" w:hAnsi="Times New Roman" w:cs="Times New Roman"/>
                <w:sz w:val="24"/>
                <w:szCs w:val="24"/>
                <w:lang w:val="ro-RO"/>
              </w:rPr>
              <w:t xml:space="preserve"> </w:t>
            </w:r>
            <w:r w:rsidR="00035B92" w:rsidRPr="00031651">
              <w:rPr>
                <w:rFonts w:ascii="Times New Roman" w:hAnsi="Times New Roman" w:cs="Times New Roman"/>
                <w:sz w:val="24"/>
                <w:szCs w:val="24"/>
                <w:lang w:val="ro-RO"/>
              </w:rPr>
              <w:t xml:space="preserve">realizată </w:t>
            </w:r>
            <w:r w:rsidR="00F06921" w:rsidRPr="00031651">
              <w:rPr>
                <w:rFonts w:ascii="Times New Roman" w:hAnsi="Times New Roman" w:cs="Times New Roman"/>
                <w:sz w:val="24"/>
                <w:szCs w:val="24"/>
                <w:lang w:val="ro-RO"/>
              </w:rPr>
              <w:t xml:space="preserve">printr-o provocare de a comite acte de corupție. </w:t>
            </w:r>
          </w:p>
          <w:p w14:paraId="11D24539" w14:textId="6A62B0E3" w:rsidR="00F06921" w:rsidRPr="00031651" w:rsidRDefault="002F6A22"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lang w:val="ro-RO"/>
              </w:rPr>
              <w:t>45</w:t>
            </w:r>
            <w:r w:rsidRPr="00031651">
              <w:rPr>
                <w:rFonts w:ascii="Times New Roman" w:hAnsi="Times New Roman" w:cs="Times New Roman"/>
                <w:sz w:val="24"/>
                <w:szCs w:val="24"/>
                <w:lang w:val="ro-RO"/>
              </w:rPr>
              <w:t>. Curtea a</w:t>
            </w:r>
            <w:r w:rsidR="0068485B" w:rsidRPr="00031651">
              <w:rPr>
                <w:rFonts w:ascii="Times New Roman" w:hAnsi="Times New Roman" w:cs="Times New Roman"/>
                <w:sz w:val="24"/>
                <w:szCs w:val="24"/>
                <w:lang w:val="ro-RO"/>
              </w:rPr>
              <w:t xml:space="preserve"> </w:t>
            </w:r>
            <w:r w:rsidRPr="00031651">
              <w:rPr>
                <w:rFonts w:ascii="Times New Roman" w:hAnsi="Times New Roman" w:cs="Times New Roman"/>
                <w:sz w:val="24"/>
                <w:szCs w:val="24"/>
                <w:lang w:val="ro-RO"/>
              </w:rPr>
              <w:t>avut</w:t>
            </w:r>
            <w:r w:rsidR="0068485B" w:rsidRPr="00031651">
              <w:rPr>
                <w:rFonts w:ascii="Times New Roman" w:hAnsi="Times New Roman" w:cs="Times New Roman"/>
                <w:sz w:val="24"/>
                <w:szCs w:val="24"/>
                <w:lang w:val="ro-RO"/>
              </w:rPr>
              <w:t xml:space="preserve"> </w:t>
            </w:r>
            <w:r w:rsidRPr="00031651">
              <w:rPr>
                <w:rFonts w:ascii="Times New Roman" w:hAnsi="Times New Roman" w:cs="Times New Roman"/>
                <w:sz w:val="24"/>
                <w:szCs w:val="24"/>
                <w:lang w:val="ro-RO"/>
              </w:rPr>
              <w:t>deja ocazia</w:t>
            </w:r>
            <w:r w:rsidR="0068485B" w:rsidRPr="00031651">
              <w:rPr>
                <w:rFonts w:ascii="Times New Roman" w:hAnsi="Times New Roman" w:cs="Times New Roman"/>
                <w:sz w:val="24"/>
                <w:szCs w:val="24"/>
                <w:lang w:val="ro-RO"/>
              </w:rPr>
              <w:t xml:space="preserve"> </w:t>
            </w:r>
            <w:r w:rsidRPr="00031651">
              <w:rPr>
                <w:rFonts w:ascii="Times New Roman" w:hAnsi="Times New Roman" w:cs="Times New Roman"/>
                <w:sz w:val="24"/>
                <w:szCs w:val="24"/>
                <w:lang w:val="ro-RO"/>
              </w:rPr>
              <w:t>să observe că „deși</w:t>
            </w:r>
            <w:r w:rsidR="00B227E5" w:rsidRPr="00031651">
              <w:rPr>
                <w:rFonts w:ascii="Times New Roman" w:hAnsi="Times New Roman" w:cs="Times New Roman"/>
                <w:sz w:val="24"/>
                <w:szCs w:val="24"/>
                <w:lang w:val="ro-RO"/>
              </w:rPr>
              <w:t xml:space="preserve"> </w:t>
            </w:r>
            <w:r w:rsidRPr="00031651">
              <w:rPr>
                <w:rFonts w:ascii="Times New Roman" w:hAnsi="Times New Roman" w:cs="Times New Roman"/>
                <w:sz w:val="24"/>
                <w:szCs w:val="24"/>
                <w:lang w:val="ro-RO"/>
              </w:rPr>
              <w:t>garanțiile privind procesul</w:t>
            </w:r>
            <w:r w:rsidR="00B227E5" w:rsidRPr="00031651">
              <w:rPr>
                <w:rFonts w:ascii="Times New Roman" w:hAnsi="Times New Roman" w:cs="Times New Roman"/>
                <w:sz w:val="24"/>
                <w:szCs w:val="24"/>
                <w:lang w:val="ro-RO"/>
              </w:rPr>
              <w:t xml:space="preserve"> echitabil</w:t>
            </w:r>
            <w:r w:rsidRPr="00031651">
              <w:rPr>
                <w:rFonts w:ascii="Times New Roman" w:hAnsi="Times New Roman" w:cs="Times New Roman"/>
                <w:sz w:val="24"/>
                <w:szCs w:val="24"/>
                <w:lang w:val="ro-RO"/>
              </w:rPr>
              <w:t>”</w:t>
            </w:r>
            <w:r w:rsidR="00B227E5" w:rsidRPr="00031651">
              <w:rPr>
                <w:rFonts w:ascii="Times New Roman" w:hAnsi="Times New Roman" w:cs="Times New Roman"/>
                <w:sz w:val="24"/>
                <w:szCs w:val="24"/>
                <w:lang w:val="ro-RO"/>
              </w:rPr>
              <w:t xml:space="preserve"> nu sunt neapărat aceleași în procedurile de drept penal și în cele de drept</w:t>
            </w:r>
            <w:r w:rsidR="0068485B" w:rsidRPr="00031651">
              <w:rPr>
                <w:rFonts w:ascii="Times New Roman" w:hAnsi="Times New Roman" w:cs="Times New Roman"/>
                <w:sz w:val="24"/>
                <w:szCs w:val="24"/>
                <w:lang w:val="ro-RO"/>
              </w:rPr>
              <w:t xml:space="preserve"> </w:t>
            </w:r>
            <w:r w:rsidR="00B227E5" w:rsidRPr="00031651">
              <w:rPr>
                <w:rFonts w:ascii="Times New Roman" w:hAnsi="Times New Roman" w:cs="Times New Roman"/>
                <w:sz w:val="24"/>
                <w:szCs w:val="24"/>
                <w:lang w:val="ro-RO"/>
              </w:rPr>
              <w:t xml:space="preserve">civil, statele având o marjă de apreciere mai largă </w:t>
            </w:r>
            <w:r w:rsidR="00D55D08" w:rsidRPr="00031651">
              <w:rPr>
                <w:rFonts w:ascii="Times New Roman" w:hAnsi="Times New Roman" w:cs="Times New Roman"/>
                <w:sz w:val="24"/>
                <w:szCs w:val="24"/>
                <w:lang w:val="ro-RO"/>
              </w:rPr>
              <w:t>atunci când tratează cauze</w:t>
            </w:r>
            <w:r w:rsidR="0068485B" w:rsidRPr="00031651">
              <w:rPr>
                <w:rFonts w:ascii="Times New Roman" w:hAnsi="Times New Roman" w:cs="Times New Roman"/>
                <w:sz w:val="24"/>
                <w:szCs w:val="24"/>
                <w:lang w:val="ro-RO"/>
              </w:rPr>
              <w:t xml:space="preserve"> </w:t>
            </w:r>
            <w:r w:rsidR="00D55D08" w:rsidRPr="00031651">
              <w:rPr>
                <w:rFonts w:ascii="Times New Roman" w:hAnsi="Times New Roman" w:cs="Times New Roman"/>
                <w:sz w:val="24"/>
                <w:szCs w:val="24"/>
                <w:lang w:val="ro-RO"/>
              </w:rPr>
              <w:t xml:space="preserve">civile, acestea se poate totuși </w:t>
            </w:r>
            <w:r w:rsidR="00D55D08" w:rsidRPr="00031651">
              <w:rPr>
                <w:rFonts w:ascii="Times New Roman" w:hAnsi="Times New Roman" w:cs="Times New Roman"/>
                <w:sz w:val="24"/>
                <w:szCs w:val="24"/>
                <w:lang w:val="ro-RO"/>
              </w:rPr>
              <w:lastRenderedPageBreak/>
              <w:t>inspira, atunci când examinează</w:t>
            </w:r>
            <w:r w:rsidR="0068485B" w:rsidRPr="00031651">
              <w:rPr>
                <w:rFonts w:ascii="Times New Roman" w:hAnsi="Times New Roman" w:cs="Times New Roman"/>
                <w:sz w:val="24"/>
                <w:szCs w:val="24"/>
                <w:lang w:val="ro-RO"/>
              </w:rPr>
              <w:t xml:space="preserve"> caracterul echitabil al procedurilor de drept civil, din principiile dezvoltate în cadrul ramurii penale ale art.6. </w:t>
            </w:r>
          </w:p>
          <w:p w14:paraId="296753FC" w14:textId="69A80AC6" w:rsidR="0068485B" w:rsidRPr="00031651" w:rsidRDefault="00E1581E"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rPr>
              <w:t>46</w:t>
            </w:r>
            <w:r w:rsidRPr="00031651">
              <w:rPr>
                <w:rFonts w:ascii="Times New Roman" w:hAnsi="Times New Roman" w:cs="Times New Roman"/>
                <w:sz w:val="24"/>
                <w:szCs w:val="24"/>
              </w:rPr>
              <w:t>. Curtea observă că procedurile împotriva reclamantului au implicat o evaluare a atitudinii și a comportamentului acestuia într-o situație creată artificial, deși concepută pentru a reproduce evenimente care ar putea apărea în mod tipic în activitatea sa profesională. Este evident că, pentru a asigura echitatea procedurilor, o astfel de evaluare trebuia să includă întrebarea dacă comportamentul observat reflecta o atitudine incompatibilă cu cerințele profesionale sau a fost indus în mod nejustificat și, prin urmare, reprezenta o bază nesigură pentru constatarea unei abateri disciplinare. În astfel de circumstanțe, în care reclamantul a fost acuzat de o abatere disciplinară, deși pare clar că elementele ce trebuie dovedite și standardul probei necesar în procedurile în temeiul Legii nr. 325 nu erau aceleași ca în procedurile penale, Curtea consideră că, în prezenta cauză, există suficiente elemente care să justifice inspirarea, cu ajustările corespunzătoare, din garanțiile unui proces echitabil dezvoltate în jurisprudența sa în temeiul articolului 6 § 1 cu privire la provocarea (entrapment) în contextul procedurilor penale.</w:t>
            </w:r>
          </w:p>
          <w:p w14:paraId="57F944A3" w14:textId="77777777" w:rsidR="006E0495" w:rsidRPr="00031651" w:rsidRDefault="00CE554F"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lang w:val="ro-RO"/>
              </w:rPr>
              <w:t>63</w:t>
            </w:r>
            <w:r w:rsidR="000D2CEF" w:rsidRPr="00031651">
              <w:rPr>
                <w:rFonts w:ascii="Times New Roman" w:hAnsi="Times New Roman" w:cs="Times New Roman"/>
                <w:sz w:val="24"/>
                <w:szCs w:val="24"/>
                <w:lang w:val="ro-RO"/>
              </w:rPr>
              <w:t xml:space="preserve">. </w:t>
            </w:r>
            <w:r w:rsidR="009D0185" w:rsidRPr="00031651">
              <w:rPr>
                <w:rFonts w:ascii="Times New Roman" w:hAnsi="Times New Roman" w:cs="Times New Roman"/>
                <w:sz w:val="24"/>
                <w:szCs w:val="24"/>
              </w:rPr>
              <w:t xml:space="preserve">Mai mult, acea instanță a decis pe baza dosarului și fără a-l audia pe reclamant sau a examina probele ori argumentele acestuia, inclusiv susținerile sale referitoare la provocare. Curtea nu este convinsă că aspecte precum dacă reclamantul a fost provocat și, în caz afirmativ, ce consecințe implica o asemenea constatare, puteau fi soluționate în mod corespunzător fără audierea acestuia și a testerului, în cadrul unor proceduri contradictorii. În plus, reclamantul nu putea ataca acea decizie, în timp ce cealaltă parte nu doar că putea formula apel, dar putea solicita examinarea oricărei alte chestiuni de către instanță. Guvernul a susținut că reclamantul putea prezenta orice argumente și probe în fața comisiei disciplinare și a instanțelor atunci când contesta decizia EPI de concediere. Cu toate acestea, până la acel moment, decizia crucială – dacă acesta </w:t>
            </w:r>
            <w:r w:rsidR="009D0185" w:rsidRPr="00031651">
              <w:rPr>
                <w:rFonts w:ascii="Times New Roman" w:hAnsi="Times New Roman" w:cs="Times New Roman"/>
                <w:sz w:val="24"/>
                <w:szCs w:val="24"/>
              </w:rPr>
              <w:lastRenderedPageBreak/>
              <w:t>eșuase sau nu testul de integritate profesională – fusese deja luată, iar instanțele din cadrul procedurii de concediere erau împiedicate prin lege să o redeschidă sau să o înlăture</w:t>
            </w:r>
            <w:r w:rsidR="009F7C8C" w:rsidRPr="00031651">
              <w:rPr>
                <w:rFonts w:ascii="Times New Roman" w:hAnsi="Times New Roman" w:cs="Times New Roman"/>
                <w:sz w:val="24"/>
                <w:szCs w:val="24"/>
              </w:rPr>
              <w:t xml:space="preserve">. </w:t>
            </w:r>
            <w:r w:rsidR="009D0185" w:rsidRPr="00031651">
              <w:rPr>
                <w:rFonts w:ascii="Times New Roman" w:hAnsi="Times New Roman" w:cs="Times New Roman"/>
                <w:sz w:val="24"/>
                <w:szCs w:val="24"/>
              </w:rPr>
              <w:t>În asemenea circumstanțe, Curtea consideră că hotărârea Judecătoriei Chișinău (sediul Centru) potrivit căreia nu a existat provocare nu a inclus o motivare adecvată, cu referire la fapte, eșuând astfel să examineze corespunzător argumentul reclamantului. În plus, procedura a fost afectată de vicii procesuale, în special nerespectarea principiului egalității armelor prin nefurnizarea posibilității reclamantului de a fi audiat sau de a formula apel, posibilitate acordată exclusiv celeilalte părți. Imposibilitatea celorlalte instanțe (Judecătoria Chișinău, sediul Râșcani, și Curtea de Apel Chișinău) de a aborda în orice mod problema provocării – instanțe care au avut avantajul de a audia părțile și de a examina argumentele acestora – nu contribuie în niciun fel la ameliorarea situației.</w:t>
            </w:r>
          </w:p>
          <w:p w14:paraId="7EDB7333" w14:textId="589C7501" w:rsidR="00891602" w:rsidRPr="00031651" w:rsidRDefault="00891602" w:rsidP="00E55E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rPr>
              <w:t>64</w:t>
            </w:r>
            <w:r w:rsidRPr="00031651">
              <w:rPr>
                <w:rFonts w:ascii="Times New Roman" w:hAnsi="Times New Roman" w:cs="Times New Roman"/>
                <w:sz w:val="24"/>
                <w:szCs w:val="24"/>
              </w:rPr>
              <w:t>. Prin urmare,</w:t>
            </w:r>
            <w:r w:rsidR="00B86299" w:rsidRPr="00031651">
              <w:rPr>
                <w:rFonts w:ascii="Times New Roman" w:hAnsi="Times New Roman" w:cs="Times New Roman"/>
                <w:sz w:val="24"/>
                <w:szCs w:val="24"/>
              </w:rPr>
              <w:t xml:space="preserve"> </w:t>
            </w:r>
            <w:r w:rsidRPr="00031651">
              <w:rPr>
                <w:rFonts w:ascii="Times New Roman" w:hAnsi="Times New Roman" w:cs="Times New Roman"/>
                <w:sz w:val="24"/>
                <w:szCs w:val="24"/>
              </w:rPr>
              <w:t xml:space="preserve">Curtea consideră </w:t>
            </w:r>
            <w:r w:rsidR="00B86299" w:rsidRPr="00031651">
              <w:rPr>
                <w:rFonts w:ascii="Times New Roman" w:hAnsi="Times New Roman" w:cs="Times New Roman"/>
                <w:sz w:val="24"/>
                <w:szCs w:val="24"/>
              </w:rPr>
              <w:t>că instanțele naționale au eșuat</w:t>
            </w:r>
            <w:r w:rsidR="00936A8F" w:rsidRPr="00031651">
              <w:rPr>
                <w:rFonts w:ascii="Times New Roman" w:hAnsi="Times New Roman" w:cs="Times New Roman"/>
                <w:sz w:val="24"/>
                <w:szCs w:val="24"/>
              </w:rPr>
              <w:t xml:space="preserve"> să examineze efectiv plângerea de provocare</w:t>
            </w:r>
            <w:r w:rsidR="004F52A7" w:rsidRPr="00031651">
              <w:rPr>
                <w:rFonts w:ascii="Times New Roman" w:hAnsi="Times New Roman" w:cs="Times New Roman"/>
                <w:sz w:val="24"/>
                <w:szCs w:val="24"/>
              </w:rPr>
              <w:t>, încălcând obligația</w:t>
            </w:r>
            <w:r w:rsidR="00E65963" w:rsidRPr="00031651">
              <w:rPr>
                <w:rFonts w:ascii="Times New Roman" w:hAnsi="Times New Roman" w:cs="Times New Roman"/>
                <w:sz w:val="24"/>
                <w:szCs w:val="24"/>
              </w:rPr>
              <w:t xml:space="preserve"> </w:t>
            </w:r>
            <w:r w:rsidR="004F52A7" w:rsidRPr="00031651">
              <w:rPr>
                <w:rFonts w:ascii="Times New Roman" w:hAnsi="Times New Roman" w:cs="Times New Roman"/>
                <w:sz w:val="24"/>
                <w:szCs w:val="24"/>
              </w:rPr>
              <w:t>de a sigura un proces echitabil</w:t>
            </w:r>
            <w:r w:rsidR="00655CBE" w:rsidRPr="00031651">
              <w:rPr>
                <w:rFonts w:ascii="Times New Roman" w:hAnsi="Times New Roman" w:cs="Times New Roman"/>
                <w:sz w:val="24"/>
                <w:szCs w:val="24"/>
              </w:rPr>
              <w:t xml:space="preserve">. </w:t>
            </w:r>
          </w:p>
        </w:tc>
        <w:tc>
          <w:tcPr>
            <w:tcW w:w="2693" w:type="dxa"/>
          </w:tcPr>
          <w:p w14:paraId="7850BCFB" w14:textId="77777777" w:rsidR="00514C36" w:rsidRPr="00031651" w:rsidRDefault="009C6AD6" w:rsidP="009C6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lang w:val="ro-RO"/>
              </w:rPr>
              <w:lastRenderedPageBreak/>
              <w:t xml:space="preserve">Violare a art.6 </w:t>
            </w:r>
            <w:r w:rsidRPr="00031651">
              <w:rPr>
                <w:rFonts w:ascii="Times New Roman" w:hAnsi="Times New Roman" w:cs="Times New Roman"/>
                <w:sz w:val="24"/>
                <w:szCs w:val="24"/>
              </w:rPr>
              <w:t>§ 1</w:t>
            </w:r>
          </w:p>
          <w:p w14:paraId="2C783B3F" w14:textId="77777777" w:rsidR="009C6AD6" w:rsidRPr="00031651" w:rsidRDefault="009C6AD6" w:rsidP="009C6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62011A" w14:textId="77777777" w:rsidR="0092730A" w:rsidRPr="00031651" w:rsidRDefault="0092730A" w:rsidP="009C6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1375</w:t>
            </w:r>
            <w:r w:rsidR="009C7B6B" w:rsidRPr="00031651">
              <w:rPr>
                <w:rFonts w:ascii="Times New Roman" w:hAnsi="Times New Roman" w:cs="Times New Roman"/>
                <w:sz w:val="24"/>
                <w:szCs w:val="24"/>
              </w:rPr>
              <w:t xml:space="preserve"> EUR</w:t>
            </w:r>
          </w:p>
          <w:p w14:paraId="1B7F259A" w14:textId="77777777" w:rsidR="009C7B6B" w:rsidRPr="00031651" w:rsidRDefault="009C7B6B" w:rsidP="009C6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(costu</w:t>
            </w:r>
            <w:r w:rsidR="005C717F" w:rsidRPr="00031651">
              <w:rPr>
                <w:rFonts w:ascii="Times New Roman" w:hAnsi="Times New Roman" w:cs="Times New Roman"/>
                <w:sz w:val="24"/>
                <w:szCs w:val="24"/>
              </w:rPr>
              <w:t>r</w:t>
            </w:r>
            <w:r w:rsidRPr="00031651">
              <w:rPr>
                <w:rFonts w:ascii="Times New Roman" w:hAnsi="Times New Roman" w:cs="Times New Roman"/>
                <w:sz w:val="24"/>
                <w:szCs w:val="24"/>
              </w:rPr>
              <w:t>i și cheltuieli)</w:t>
            </w:r>
          </w:p>
          <w:p w14:paraId="296457EC" w14:textId="77777777" w:rsidR="00474F6C" w:rsidRPr="00031651" w:rsidRDefault="00474F6C" w:rsidP="009C6A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3B0BFD5" w14:textId="1BC69D46" w:rsidR="00953342" w:rsidRPr="00031651" w:rsidRDefault="00953342" w:rsidP="00474F6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rPr>
              <w:t>71</w:t>
            </w:r>
            <w:r w:rsidRPr="00031651">
              <w:rPr>
                <w:rFonts w:ascii="Times New Roman" w:hAnsi="Times New Roman" w:cs="Times New Roman"/>
                <w:sz w:val="24"/>
                <w:szCs w:val="24"/>
              </w:rPr>
              <w:t>. Având în vedere circumstanțele cauzei, concluzia la care  a ajuns</w:t>
            </w:r>
            <w:r w:rsidR="00176C63" w:rsidRPr="00031651">
              <w:rPr>
                <w:rFonts w:ascii="Times New Roman" w:hAnsi="Times New Roman" w:cs="Times New Roman"/>
                <w:sz w:val="24"/>
                <w:szCs w:val="24"/>
              </w:rPr>
              <w:t xml:space="preserve"> în temeiul art.6 § 1 </w:t>
            </w:r>
            <w:r w:rsidR="00854B08" w:rsidRPr="00031651">
              <w:rPr>
                <w:rFonts w:ascii="Times New Roman" w:hAnsi="Times New Roman" w:cs="Times New Roman"/>
                <w:sz w:val="24"/>
                <w:szCs w:val="24"/>
              </w:rPr>
              <w:t xml:space="preserve">din Convenție constituie o satisfacție echitabilă suficientă </w:t>
            </w:r>
            <w:r w:rsidR="00A070FF" w:rsidRPr="00031651">
              <w:rPr>
                <w:rFonts w:ascii="Times New Roman" w:hAnsi="Times New Roman" w:cs="Times New Roman"/>
                <w:sz w:val="24"/>
                <w:szCs w:val="24"/>
              </w:rPr>
              <w:t>pentru orice prejudiciu moral care ar fi suferit de reclamant</w:t>
            </w:r>
            <w:r w:rsidR="001B72F7" w:rsidRPr="00031651">
              <w:rPr>
                <w:rFonts w:ascii="Times New Roman" w:hAnsi="Times New Roman" w:cs="Times New Roman"/>
                <w:sz w:val="24"/>
                <w:szCs w:val="24"/>
              </w:rPr>
              <w:t>. Curtea observă, totuși că potrivit dreptului intern, constatarea</w:t>
            </w:r>
            <w:r w:rsidR="00474F6C" w:rsidRPr="00031651">
              <w:rPr>
                <w:rFonts w:ascii="Times New Roman" w:hAnsi="Times New Roman" w:cs="Times New Roman"/>
                <w:sz w:val="24"/>
                <w:szCs w:val="24"/>
              </w:rPr>
              <w:t xml:space="preserve"> sa privind încălcarea constituie un temei de care reclamantul se poate prevala pentru redeschiderea procedurilor. </w:t>
            </w:r>
          </w:p>
        </w:tc>
      </w:tr>
      <w:tr w:rsidR="00514C36" w:rsidRPr="00031651" w14:paraId="0E1D0504" w14:textId="77777777" w:rsidTr="00EB15C3">
        <w:trPr>
          <w:trHeight w:val="2971"/>
        </w:trPr>
        <w:tc>
          <w:tcPr>
            <w:cnfStyle w:val="001000000000" w:firstRow="0" w:lastRow="0" w:firstColumn="1" w:lastColumn="0" w:oddVBand="0" w:evenVBand="0" w:oddHBand="0" w:evenHBand="0" w:firstRowFirstColumn="0" w:firstRowLastColumn="0" w:lastRowFirstColumn="0" w:lastRowLastColumn="0"/>
            <w:tcW w:w="636" w:type="dxa"/>
          </w:tcPr>
          <w:p w14:paraId="770562E7" w14:textId="77777777" w:rsidR="0075043B" w:rsidRPr="00031651" w:rsidRDefault="008C3177" w:rsidP="00B04FC2">
            <w:pPr>
              <w:jc w:val="center"/>
              <w:rPr>
                <w:rFonts w:ascii="Times New Roman" w:hAnsi="Times New Roman" w:cs="Times New Roman"/>
                <w:b w:val="0"/>
                <w:bCs w:val="0"/>
                <w:sz w:val="24"/>
                <w:szCs w:val="24"/>
              </w:rPr>
            </w:pPr>
            <w:r w:rsidRPr="00031651">
              <w:rPr>
                <w:rFonts w:ascii="Times New Roman" w:hAnsi="Times New Roman" w:cs="Times New Roman"/>
                <w:sz w:val="24"/>
                <w:szCs w:val="24"/>
                <w:lang w:val="ro-RO"/>
              </w:rPr>
              <w:lastRenderedPageBreak/>
              <w:t>6</w:t>
            </w:r>
            <w:r w:rsidR="00F113B4" w:rsidRPr="00031651">
              <w:rPr>
                <w:rFonts w:ascii="Times New Roman" w:hAnsi="Times New Roman" w:cs="Times New Roman"/>
                <w:sz w:val="24"/>
                <w:szCs w:val="24"/>
                <w:lang w:val="ro-RO"/>
              </w:rPr>
              <w:t xml:space="preserve"> </w:t>
            </w:r>
            <w:r w:rsidR="00F113B4" w:rsidRPr="00031651">
              <w:rPr>
                <w:rFonts w:ascii="Times New Roman" w:hAnsi="Times New Roman" w:cs="Times New Roman"/>
                <w:sz w:val="24"/>
                <w:szCs w:val="24"/>
              </w:rPr>
              <w:t xml:space="preserve">§ </w:t>
            </w:r>
            <w:r w:rsidR="0075043B" w:rsidRPr="00031651">
              <w:rPr>
                <w:rFonts w:ascii="Times New Roman" w:hAnsi="Times New Roman" w:cs="Times New Roman"/>
                <w:sz w:val="24"/>
                <w:szCs w:val="24"/>
              </w:rPr>
              <w:t>1</w:t>
            </w:r>
          </w:p>
          <w:p w14:paraId="1876E2CD" w14:textId="77777777" w:rsidR="0075043B" w:rsidRPr="00031651" w:rsidRDefault="0075043B" w:rsidP="00B04FC2">
            <w:pPr>
              <w:jc w:val="center"/>
              <w:rPr>
                <w:rFonts w:ascii="Times New Roman" w:hAnsi="Times New Roman" w:cs="Times New Roman"/>
                <w:b w:val="0"/>
                <w:bCs w:val="0"/>
                <w:sz w:val="24"/>
                <w:szCs w:val="24"/>
              </w:rPr>
            </w:pPr>
          </w:p>
          <w:p w14:paraId="7D1EA60C" w14:textId="38332309" w:rsidR="00514C36" w:rsidRPr="00031651" w:rsidRDefault="00FE4A2E"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rPr>
              <w:t xml:space="preserve">14+8 </w:t>
            </w:r>
            <w:r w:rsidR="00AF3382" w:rsidRPr="00031651">
              <w:rPr>
                <w:rFonts w:ascii="Times New Roman" w:hAnsi="Times New Roman" w:cs="Times New Roman"/>
                <w:sz w:val="24"/>
                <w:szCs w:val="24"/>
                <w:lang w:val="ro-RO"/>
              </w:rPr>
              <w:t xml:space="preserve"> </w:t>
            </w:r>
          </w:p>
        </w:tc>
        <w:tc>
          <w:tcPr>
            <w:tcW w:w="1525" w:type="dxa"/>
          </w:tcPr>
          <w:p w14:paraId="3B0CA081" w14:textId="77777777" w:rsidR="009D189F" w:rsidRPr="00031651" w:rsidRDefault="00311F8B" w:rsidP="00311F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Dreptul al un proces echitabil</w:t>
            </w:r>
          </w:p>
          <w:p w14:paraId="48606779" w14:textId="77777777" w:rsidR="006627BA" w:rsidRPr="00031651" w:rsidRDefault="006627BA" w:rsidP="00311F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282BEAE9" w14:textId="7A0527EB" w:rsidR="006627BA" w:rsidRPr="00031651" w:rsidRDefault="00185431" w:rsidP="00311F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Interzicerea discriminării</w:t>
            </w:r>
          </w:p>
          <w:p w14:paraId="59B5A6FE" w14:textId="77777777" w:rsidR="00185431" w:rsidRPr="00031651" w:rsidRDefault="00185431" w:rsidP="00311F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5D25FC1" w14:textId="02BBD612" w:rsidR="00185431" w:rsidRPr="00031651" w:rsidRDefault="00C90062" w:rsidP="00311F8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Dreptul la respectarea vieții private</w:t>
            </w:r>
          </w:p>
        </w:tc>
        <w:tc>
          <w:tcPr>
            <w:tcW w:w="1633" w:type="dxa"/>
          </w:tcPr>
          <w:p w14:paraId="4831BB13" w14:textId="33674590" w:rsidR="00AF3382" w:rsidRPr="00031651" w:rsidRDefault="00F113B4" w:rsidP="00AF33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25373/16</w:t>
            </w:r>
          </w:p>
          <w:p w14:paraId="244E569D" w14:textId="4E41B3BF" w:rsidR="00F113B4" w:rsidRPr="00031651" w:rsidRDefault="00F113B4" w:rsidP="00AF33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12/02/2025</w:t>
            </w:r>
          </w:p>
          <w:p w14:paraId="7F0C39EB" w14:textId="558E1E6A" w:rsidR="00A70CD9" w:rsidRPr="00031651" w:rsidRDefault="00A70CD9" w:rsidP="00AF338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E.T </w:t>
            </w:r>
            <w:r w:rsidR="00AF3382" w:rsidRPr="00031651">
              <w:rPr>
                <w:rFonts w:ascii="Times New Roman" w:hAnsi="Times New Roman" w:cs="Times New Roman"/>
                <w:sz w:val="24"/>
                <w:szCs w:val="24"/>
                <w:lang w:val="ro-RO"/>
              </w:rPr>
              <w:t>contra Republica Moldova</w:t>
            </w:r>
          </w:p>
          <w:p w14:paraId="43EDBC25" w14:textId="79F4240E" w:rsidR="00514C36" w:rsidRPr="00031651" w:rsidRDefault="00514C3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1257A36D" w14:textId="22CB469F" w:rsidR="00514C36" w:rsidRPr="00031651" w:rsidRDefault="0002453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47,49,51,62,69,75,76,77,78</w:t>
            </w:r>
          </w:p>
        </w:tc>
        <w:tc>
          <w:tcPr>
            <w:tcW w:w="1559" w:type="dxa"/>
          </w:tcPr>
          <w:p w14:paraId="79D8D8ED" w14:textId="362A6FD0" w:rsidR="00514C36" w:rsidRPr="00031651" w:rsidRDefault="00C956AD" w:rsidP="000D10C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Dreptul la </w:t>
            </w:r>
            <w:r w:rsidR="00B47B2B" w:rsidRPr="00031651">
              <w:rPr>
                <w:rFonts w:ascii="Times New Roman" w:hAnsi="Times New Roman" w:cs="Times New Roman"/>
                <w:sz w:val="24"/>
                <w:szCs w:val="24"/>
                <w:lang w:val="ro-RO"/>
              </w:rPr>
              <w:t xml:space="preserve">acces la </w:t>
            </w:r>
            <w:r w:rsidRPr="00031651">
              <w:rPr>
                <w:rFonts w:ascii="Times New Roman" w:hAnsi="Times New Roman" w:cs="Times New Roman"/>
                <w:sz w:val="24"/>
                <w:szCs w:val="24"/>
                <w:lang w:val="ro-RO"/>
              </w:rPr>
              <w:t xml:space="preserve">o instanță independentă, </w:t>
            </w:r>
            <w:r w:rsidR="000D10CA" w:rsidRPr="00031651">
              <w:rPr>
                <w:rFonts w:ascii="Times New Roman" w:hAnsi="Times New Roman" w:cs="Times New Roman"/>
                <w:sz w:val="24"/>
                <w:szCs w:val="24"/>
                <w:lang w:val="ro-RO"/>
              </w:rPr>
              <w:t xml:space="preserve">proceduri civile, discriminare, </w:t>
            </w:r>
            <w:r w:rsidR="0038230A" w:rsidRPr="00031651">
              <w:rPr>
                <w:rFonts w:ascii="Times New Roman" w:hAnsi="Times New Roman" w:cs="Times New Roman"/>
                <w:sz w:val="24"/>
                <w:szCs w:val="24"/>
                <w:lang w:val="ro-RO"/>
              </w:rPr>
              <w:t xml:space="preserve">respectarea vieții private, </w:t>
            </w:r>
            <w:r w:rsidR="00A5741C" w:rsidRPr="00031651">
              <w:rPr>
                <w:rFonts w:ascii="Times New Roman" w:hAnsi="Times New Roman" w:cs="Times New Roman"/>
                <w:sz w:val="24"/>
                <w:szCs w:val="24"/>
                <w:lang w:val="ro-RO"/>
              </w:rPr>
              <w:t xml:space="preserve">incapacitatea persoanei, </w:t>
            </w:r>
            <w:r w:rsidR="00877897" w:rsidRPr="00031651">
              <w:rPr>
                <w:rFonts w:ascii="Times New Roman" w:hAnsi="Times New Roman" w:cs="Times New Roman"/>
                <w:sz w:val="24"/>
                <w:szCs w:val="24"/>
                <w:lang w:val="ro-RO"/>
              </w:rPr>
              <w:t>tutelă</w:t>
            </w:r>
          </w:p>
        </w:tc>
        <w:tc>
          <w:tcPr>
            <w:tcW w:w="6804" w:type="dxa"/>
          </w:tcPr>
          <w:p w14:paraId="1784567E" w14:textId="44AA880F" w:rsidR="0043261E" w:rsidRPr="00031651" w:rsidRDefault="00F5558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47</w:t>
            </w:r>
            <w:r w:rsidRPr="00031651">
              <w:rPr>
                <w:rFonts w:ascii="Times New Roman" w:hAnsi="Times New Roman" w:cs="Times New Roman"/>
                <w:sz w:val="24"/>
                <w:szCs w:val="24"/>
              </w:rPr>
              <w:t>.</w:t>
            </w:r>
            <w:r w:rsidRPr="00031651">
              <w:rPr>
                <w:rFonts w:ascii="Times New Roman" w:hAnsi="Times New Roman" w:cs="Times New Roman"/>
              </w:rPr>
              <w:t xml:space="preserve"> </w:t>
            </w:r>
            <w:r w:rsidR="009C5E9A" w:rsidRPr="00031651">
              <w:rPr>
                <w:rFonts w:ascii="Times New Roman" w:hAnsi="Times New Roman" w:cs="Times New Roman"/>
              </w:rPr>
              <w:t xml:space="preserve">Curtea a constatat că </w:t>
            </w:r>
            <w:r w:rsidRPr="00031651">
              <w:rPr>
                <w:rFonts w:ascii="Times New Roman" w:hAnsi="Times New Roman" w:cs="Times New Roman"/>
                <w:sz w:val="24"/>
                <w:szCs w:val="24"/>
              </w:rPr>
              <w:t>dreptul de a solicita instanței reexaminarea unei declarări a incapacității este unul dintre cele mai importante drepturi pentru persoana în cauză, deoarece această procedură, odată inițiată, va fi decisivă pentru exercitarea tuturor drepturilor și libertăților afectate de declararea incapacității</w:t>
            </w:r>
          </w:p>
          <w:p w14:paraId="788CED5C" w14:textId="77777777" w:rsidR="004156BB" w:rsidRPr="00031651" w:rsidRDefault="00C10140" w:rsidP="00513E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Curtea consideră, prin urmare, că acest drept reprezintă unul dintre drepturile procedurale fundamentale pentru protecția persoanelor lipsite, chiar parțial, de capacitate juridică. Rezultă că asemenea persoane ar trebui, în principiu, să aibă acces direct la instanțe în această materie.</w:t>
            </w:r>
          </w:p>
          <w:p w14:paraId="707248E0" w14:textId="78BB4ED4" w:rsidR="0099635B" w:rsidRPr="00031651" w:rsidRDefault="00B932A8" w:rsidP="00513E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49.</w:t>
            </w:r>
            <w:r w:rsidRPr="00031651">
              <w:rPr>
                <w:rFonts w:ascii="Times New Roman" w:hAnsi="Times New Roman" w:cs="Times New Roman"/>
                <w:sz w:val="24"/>
                <w:szCs w:val="24"/>
              </w:rPr>
              <w:t xml:space="preserve"> Curtea observă, de asemenea, importanța pe care instrumentele internaționale privind protecția persoanelor cu tulburări mintale o acordă acordării unei autonomii juridice cât mai mari acestora. În special, se observă o tendință de înlocuire a sistemelor bazate pe lipsirea totală a capacității juridice în „interesul persoanei” cu un sistem de decizie asistată, capabil să țină seama de voința și </w:t>
            </w:r>
            <w:r w:rsidRPr="00031651">
              <w:rPr>
                <w:rFonts w:ascii="Times New Roman" w:hAnsi="Times New Roman" w:cs="Times New Roman"/>
                <w:sz w:val="24"/>
                <w:szCs w:val="24"/>
              </w:rPr>
              <w:lastRenderedPageBreak/>
              <w:t>preferințele acesteia. În această privință, este de remarcat că, în prezenta cauză, reclamanta a susținut că avea relații tensionate cu tutorele său. Acesta din urmă ar fi putut avea un conflict de loialități între, pe de o parte, fostul soț al reclamantei, sprijinind cererea de lipsire a capacității, și, pe de altă parte, reclamanta însăși, în sprijinul dorinței acesteia de redobândire a capacității</w:t>
            </w:r>
            <w:r w:rsidR="00ED124B" w:rsidRPr="00031651">
              <w:rPr>
                <w:rFonts w:ascii="Times New Roman" w:hAnsi="Times New Roman" w:cs="Times New Roman"/>
                <w:sz w:val="24"/>
                <w:szCs w:val="24"/>
              </w:rPr>
              <w:t>.</w:t>
            </w:r>
            <w:r w:rsidR="00ED124B" w:rsidRPr="00031651">
              <w:rPr>
                <w:rFonts w:ascii="Times New Roman" w:hAnsi="Times New Roman" w:cs="Times New Roman"/>
              </w:rPr>
              <w:t xml:space="preserve"> </w:t>
            </w:r>
            <w:r w:rsidR="00ED124B" w:rsidRPr="00031651">
              <w:rPr>
                <w:rFonts w:ascii="Times New Roman" w:hAnsi="Times New Roman" w:cs="Times New Roman"/>
                <w:sz w:val="24"/>
                <w:szCs w:val="24"/>
              </w:rPr>
              <w:t>Cu toate acestea, reclamanta nu dispunea de un mijloc direct de inițiere a procedurii în instanță pentru redobândirea capacității, iar instanțele au respins acțiunea intentată de avocatul mandatat de ea.</w:t>
            </w:r>
          </w:p>
          <w:p w14:paraId="7F439AAF" w14:textId="77777777" w:rsidR="0099635B" w:rsidRPr="00031651" w:rsidRDefault="0099635B" w:rsidP="00513E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51.</w:t>
            </w:r>
            <w:r w:rsidRPr="00031651">
              <w:rPr>
                <w:rFonts w:ascii="Times New Roman" w:hAnsi="Times New Roman" w:cs="Times New Roman"/>
                <w:sz w:val="24"/>
                <w:szCs w:val="24"/>
              </w:rPr>
              <w:t xml:space="preserve"> În lumina celor de mai sus, Curtea consideră că imposibilitatea reclamantei de a solicita în mod direct restabilirea capacității sale juridice, la momentul relevant, a constituit o ingerință disproporționată, afectând însăși esența dreptului său de acces la o instanță.</w:t>
            </w:r>
          </w:p>
          <w:p w14:paraId="1066847D" w14:textId="130A5A45" w:rsidR="00AF152E" w:rsidRPr="00031651" w:rsidRDefault="00BA0F10" w:rsidP="00513E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62</w:t>
            </w:r>
            <w:r w:rsidR="009D741E" w:rsidRPr="00031651">
              <w:rPr>
                <w:rFonts w:ascii="Times New Roman" w:hAnsi="Times New Roman" w:cs="Times New Roman"/>
                <w:sz w:val="24"/>
                <w:szCs w:val="24"/>
              </w:rPr>
              <w:t>. În ceea ce privește sarcina probei în temeiul articolului 14, Curtea a reținut că, odată ce reclamantul a demonstrat existența unei diferențe de tratament, revine Guvernului sarcina de a dovedi justificarea acesteia.</w:t>
            </w:r>
            <w:r w:rsidR="00B932A8" w:rsidRPr="00031651">
              <w:rPr>
                <w:rFonts w:ascii="Times New Roman" w:hAnsi="Times New Roman" w:cs="Times New Roman"/>
                <w:sz w:val="24"/>
                <w:szCs w:val="24"/>
              </w:rPr>
              <w:t xml:space="preserve"> </w:t>
            </w:r>
          </w:p>
          <w:p w14:paraId="1D693CD5" w14:textId="77777777" w:rsidR="00546B52" w:rsidRPr="00031651" w:rsidRDefault="00960D58" w:rsidP="00513E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69.</w:t>
            </w:r>
            <w:r w:rsidRPr="00031651">
              <w:rPr>
                <w:rFonts w:ascii="Times New Roman" w:hAnsi="Times New Roman" w:cs="Times New Roman"/>
                <w:sz w:val="24"/>
                <w:szCs w:val="24"/>
              </w:rPr>
              <w:t xml:space="preserve"> Curtea acceptă că boala psihică poate fi relevantă în anumite contexte, precum evaluarea capacității parentale. Curtea constată că autoritățile aveau obligația de a lua măsuri pentru protejarea intereselor persoanelor afectate, inclusiv prin asigurarea unui nivel rezonabil de acomodare a nevoilor acestora. Acestea sunt motive pertinente pentru tratament diferențiat, dar numai în măsura în care se urmărește protecția persoanelor, iar voința și preferințele lor sunt respectate.</w:t>
            </w:r>
          </w:p>
          <w:p w14:paraId="398B1C30" w14:textId="5A39F7F0" w:rsidR="00150622" w:rsidRPr="00031651" w:rsidRDefault="00150622" w:rsidP="001506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75.</w:t>
            </w:r>
            <w:r w:rsidRPr="00031651">
              <w:rPr>
                <w:rFonts w:ascii="Times New Roman" w:hAnsi="Times New Roman" w:cs="Times New Roman"/>
                <w:sz w:val="24"/>
                <w:szCs w:val="24"/>
              </w:rPr>
              <w:t xml:space="preserve"> Curtea observă că, prin menținerea unui regim de substituție decizională, autoritățile au perpetuat cea mai gravă formă de ingerință în viața reclamantei.</w:t>
            </w:r>
          </w:p>
          <w:p w14:paraId="7E8018A0" w14:textId="77777777" w:rsidR="00BA0F10" w:rsidRPr="00031651" w:rsidRDefault="009D0889" w:rsidP="00513EC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76.</w:t>
            </w:r>
            <w:r w:rsidRPr="00031651">
              <w:rPr>
                <w:rFonts w:ascii="Times New Roman" w:hAnsi="Times New Roman" w:cs="Times New Roman"/>
                <w:sz w:val="24"/>
                <w:szCs w:val="24"/>
              </w:rPr>
              <w:t xml:space="preserve"> Curtea constată că autoritățile au depășit limitele obligației de a asigura acomodare rezonabilă, privând reclamanta de orice rol în luarea deciziilor privind propria viață.</w:t>
            </w:r>
          </w:p>
          <w:p w14:paraId="26ADA0FF" w14:textId="6EFEB261" w:rsidR="00383AB7" w:rsidRPr="00383AB7" w:rsidRDefault="009D0889" w:rsidP="00383A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77.</w:t>
            </w:r>
            <w:r w:rsidRPr="00031651">
              <w:rPr>
                <w:rFonts w:ascii="Times New Roman" w:hAnsi="Times New Roman" w:cs="Times New Roman"/>
                <w:sz w:val="24"/>
                <w:szCs w:val="24"/>
              </w:rPr>
              <w:t xml:space="preserve"> Măsura a devenit tot mai împovărătoare, generând disconfort și lipsind reclamanta de posibilitatea reală de a-și revendica propriile </w:t>
            </w:r>
            <w:r w:rsidRPr="00031651">
              <w:rPr>
                <w:rFonts w:ascii="Times New Roman" w:hAnsi="Times New Roman" w:cs="Times New Roman"/>
                <w:sz w:val="24"/>
                <w:szCs w:val="24"/>
              </w:rPr>
              <w:lastRenderedPageBreak/>
              <w:t>drepturi, ceea ce reprezintă tratament discriminatoriu.</w:t>
            </w:r>
          </w:p>
        </w:tc>
        <w:tc>
          <w:tcPr>
            <w:tcW w:w="2693" w:type="dxa"/>
          </w:tcPr>
          <w:p w14:paraId="6E060BC2" w14:textId="77777777" w:rsidR="00514C36" w:rsidRPr="00031651" w:rsidRDefault="00514C3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FA66384" w14:textId="77777777" w:rsidR="00514C36" w:rsidRPr="00031651" w:rsidRDefault="006B182D"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lang w:val="ro-RO"/>
              </w:rPr>
              <w:t>Violare</w:t>
            </w:r>
            <w:r w:rsidR="009837A3" w:rsidRPr="00031651">
              <w:rPr>
                <w:rFonts w:ascii="Times New Roman" w:hAnsi="Times New Roman" w:cs="Times New Roman"/>
                <w:sz w:val="24"/>
                <w:szCs w:val="24"/>
                <w:lang w:val="ro-RO"/>
              </w:rPr>
              <w:t>a art. 6</w:t>
            </w:r>
            <w:r w:rsidR="00E468C3" w:rsidRPr="00031651">
              <w:rPr>
                <w:rFonts w:ascii="Times New Roman" w:hAnsi="Times New Roman" w:cs="Times New Roman"/>
                <w:sz w:val="24"/>
                <w:szCs w:val="24"/>
                <w:lang w:val="ro-RO"/>
              </w:rPr>
              <w:t xml:space="preserve"> </w:t>
            </w:r>
            <w:r w:rsidR="00E468C3" w:rsidRPr="00031651">
              <w:rPr>
                <w:rFonts w:ascii="Times New Roman" w:hAnsi="Times New Roman" w:cs="Times New Roman"/>
                <w:sz w:val="24"/>
                <w:szCs w:val="24"/>
              </w:rPr>
              <w:t>§ 1</w:t>
            </w:r>
          </w:p>
          <w:p w14:paraId="3EB5E9FB" w14:textId="77777777" w:rsidR="002863A0" w:rsidRPr="00031651" w:rsidRDefault="002863A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FF75FE6" w14:textId="77777777" w:rsidR="00E468C3" w:rsidRPr="00031651" w:rsidRDefault="00E468C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Violarea art. 14 coro</w:t>
            </w:r>
            <w:r w:rsidR="002863A0" w:rsidRPr="00031651">
              <w:rPr>
                <w:rFonts w:ascii="Times New Roman" w:hAnsi="Times New Roman" w:cs="Times New Roman"/>
                <w:sz w:val="24"/>
                <w:szCs w:val="24"/>
              </w:rPr>
              <w:t xml:space="preserve">borat cu art.8 </w:t>
            </w:r>
          </w:p>
          <w:p w14:paraId="2CB4B81B" w14:textId="77777777" w:rsidR="002863A0" w:rsidRPr="00031651" w:rsidRDefault="002863A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79BACA4" w14:textId="77777777" w:rsidR="002863A0" w:rsidRPr="00031651" w:rsidRDefault="001F60D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5000 EUR</w:t>
            </w:r>
          </w:p>
          <w:p w14:paraId="6B0A8855" w14:textId="0706A8AF" w:rsidR="001F60D7" w:rsidRPr="00031651" w:rsidRDefault="001F60D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w:t>
            </w:r>
            <w:r w:rsidR="001A1A35" w:rsidRPr="00031651">
              <w:rPr>
                <w:rFonts w:ascii="Times New Roman" w:hAnsi="Times New Roman" w:cs="Times New Roman"/>
                <w:sz w:val="24"/>
                <w:szCs w:val="24"/>
                <w:lang w:val="ro-RO"/>
              </w:rPr>
              <w:t>prejudiciu moral</w:t>
            </w:r>
            <w:r w:rsidRPr="00031651">
              <w:rPr>
                <w:rFonts w:ascii="Times New Roman" w:hAnsi="Times New Roman" w:cs="Times New Roman"/>
                <w:sz w:val="24"/>
                <w:szCs w:val="24"/>
                <w:lang w:val="ro-RO"/>
              </w:rPr>
              <w:t>)</w:t>
            </w:r>
          </w:p>
        </w:tc>
      </w:tr>
      <w:tr w:rsidR="00514C36" w:rsidRPr="00031651" w14:paraId="17436CC4" w14:textId="77777777" w:rsidTr="00B15A54">
        <w:trPr>
          <w:trHeight w:val="417"/>
        </w:trPr>
        <w:tc>
          <w:tcPr>
            <w:cnfStyle w:val="001000000000" w:firstRow="0" w:lastRow="0" w:firstColumn="1" w:lastColumn="0" w:oddVBand="0" w:evenVBand="0" w:oddHBand="0" w:evenHBand="0" w:firstRowFirstColumn="0" w:firstRowLastColumn="0" w:lastRowFirstColumn="0" w:lastRowLastColumn="0"/>
            <w:tcW w:w="636" w:type="dxa"/>
          </w:tcPr>
          <w:p w14:paraId="7CDDEF93" w14:textId="6678A003" w:rsidR="00514C36" w:rsidRPr="00031651" w:rsidRDefault="00514C36" w:rsidP="00B04FC2">
            <w:pPr>
              <w:jc w:val="center"/>
              <w:rPr>
                <w:rFonts w:ascii="Times New Roman" w:hAnsi="Times New Roman" w:cs="Times New Roman"/>
                <w:b w:val="0"/>
                <w:bCs w:val="0"/>
                <w:sz w:val="24"/>
                <w:szCs w:val="24"/>
                <w:lang w:val="ro-RO"/>
              </w:rPr>
            </w:pPr>
          </w:p>
          <w:p w14:paraId="0A561FBB" w14:textId="1965B223" w:rsidR="003B4A6D" w:rsidRPr="00031651" w:rsidRDefault="003C02A6"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6</w:t>
            </w:r>
            <w:r w:rsidR="003B4A6D" w:rsidRPr="00031651">
              <w:rPr>
                <w:rFonts w:ascii="Times New Roman" w:hAnsi="Times New Roman" w:cs="Times New Roman"/>
                <w:sz w:val="24"/>
                <w:szCs w:val="24"/>
                <w:lang w:val="ro-RO"/>
              </w:rPr>
              <w:t xml:space="preserve"> </w:t>
            </w:r>
            <w:r w:rsidR="003B4A6D" w:rsidRPr="00031651">
              <w:rPr>
                <w:rFonts w:ascii="Times New Roman" w:hAnsi="Times New Roman" w:cs="Times New Roman"/>
                <w:sz w:val="24"/>
                <w:szCs w:val="24"/>
              </w:rPr>
              <w:t xml:space="preserve">§ </w:t>
            </w:r>
            <w:r w:rsidR="00885F70" w:rsidRPr="00031651">
              <w:rPr>
                <w:rFonts w:ascii="Times New Roman" w:hAnsi="Times New Roman" w:cs="Times New Roman"/>
                <w:sz w:val="24"/>
                <w:szCs w:val="24"/>
              </w:rPr>
              <w:t>2</w:t>
            </w:r>
          </w:p>
        </w:tc>
        <w:tc>
          <w:tcPr>
            <w:tcW w:w="1525" w:type="dxa"/>
          </w:tcPr>
          <w:p w14:paraId="60048060" w14:textId="6F0624E0" w:rsidR="00AD36B8" w:rsidRPr="00031651" w:rsidRDefault="00AD36B8" w:rsidP="00B15A5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A8606ED" w14:textId="476A5FF6" w:rsidR="00AD36B8" w:rsidRPr="00031651" w:rsidRDefault="00DE080C" w:rsidP="00B15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Prezumția de nevinovăție</w:t>
            </w:r>
          </w:p>
          <w:p w14:paraId="3D1EBAFC" w14:textId="77777777" w:rsidR="00AD36B8" w:rsidRPr="00031651" w:rsidRDefault="00AD36B8" w:rsidP="00B15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738F461D" w14:textId="56F0363C" w:rsidR="00514C36" w:rsidRPr="00031651" w:rsidRDefault="00AD36B8" w:rsidP="00B15A5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Dreptul la un proces echitabil</w:t>
            </w:r>
          </w:p>
        </w:tc>
        <w:tc>
          <w:tcPr>
            <w:tcW w:w="1633" w:type="dxa"/>
          </w:tcPr>
          <w:p w14:paraId="0DC42D18" w14:textId="3A50379C" w:rsidR="003B4A6D" w:rsidRPr="00031651" w:rsidRDefault="00022FDE" w:rsidP="003B4A6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36013</w:t>
            </w:r>
            <w:r w:rsidR="008667DD" w:rsidRPr="00031651">
              <w:rPr>
                <w:rFonts w:ascii="Times New Roman" w:hAnsi="Times New Roman" w:cs="Times New Roman"/>
                <w:sz w:val="24"/>
                <w:szCs w:val="24"/>
                <w:lang w:val="ro-RO"/>
              </w:rPr>
              <w:t>/1</w:t>
            </w:r>
            <w:r w:rsidRPr="00031651">
              <w:rPr>
                <w:rFonts w:ascii="Times New Roman" w:hAnsi="Times New Roman" w:cs="Times New Roman"/>
                <w:sz w:val="24"/>
                <w:szCs w:val="24"/>
                <w:lang w:val="ro-RO"/>
              </w:rPr>
              <w:t>3</w:t>
            </w:r>
          </w:p>
          <w:p w14:paraId="26D1F1A9" w14:textId="6F134036" w:rsidR="008667DD" w:rsidRPr="00031651" w:rsidRDefault="008D13E2" w:rsidP="003B4A6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08</w:t>
            </w:r>
            <w:r w:rsidR="008667DD" w:rsidRPr="00031651">
              <w:rPr>
                <w:rFonts w:ascii="Times New Roman" w:hAnsi="Times New Roman" w:cs="Times New Roman"/>
                <w:sz w:val="24"/>
                <w:szCs w:val="24"/>
                <w:lang w:val="ro-RO"/>
              </w:rPr>
              <w:t>/0</w:t>
            </w:r>
            <w:r w:rsidRPr="00031651">
              <w:rPr>
                <w:rFonts w:ascii="Times New Roman" w:hAnsi="Times New Roman" w:cs="Times New Roman"/>
                <w:sz w:val="24"/>
                <w:szCs w:val="24"/>
                <w:lang w:val="ro-RO"/>
              </w:rPr>
              <w:t>1</w:t>
            </w:r>
            <w:r w:rsidR="008667DD" w:rsidRPr="00031651">
              <w:rPr>
                <w:rFonts w:ascii="Times New Roman" w:hAnsi="Times New Roman" w:cs="Times New Roman"/>
                <w:sz w:val="24"/>
                <w:szCs w:val="24"/>
                <w:lang w:val="ro-RO"/>
              </w:rPr>
              <w:t>/202</w:t>
            </w:r>
            <w:r w:rsidRPr="00031651">
              <w:rPr>
                <w:rFonts w:ascii="Times New Roman" w:hAnsi="Times New Roman" w:cs="Times New Roman"/>
                <w:sz w:val="24"/>
                <w:szCs w:val="24"/>
                <w:lang w:val="ro-RO"/>
              </w:rPr>
              <w:t>5</w:t>
            </w:r>
            <w:r w:rsidR="0039709C" w:rsidRPr="00031651">
              <w:rPr>
                <w:rFonts w:ascii="Times New Roman" w:hAnsi="Times New Roman" w:cs="Times New Roman"/>
                <w:sz w:val="24"/>
                <w:szCs w:val="24"/>
                <w:lang w:val="ro-RO"/>
              </w:rPr>
              <w:t xml:space="preserve">                    </w:t>
            </w:r>
          </w:p>
          <w:p w14:paraId="4C61EBB6" w14:textId="6A9862C6" w:rsidR="004A21FA" w:rsidRPr="00031651" w:rsidRDefault="004A21FA" w:rsidP="003B4A6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Cosovan</w:t>
            </w:r>
            <w:r w:rsidR="00867100" w:rsidRPr="00031651">
              <w:rPr>
                <w:rFonts w:ascii="Times New Roman" w:hAnsi="Times New Roman" w:cs="Times New Roman"/>
                <w:sz w:val="24"/>
                <w:szCs w:val="24"/>
                <w:lang w:val="ro-RO"/>
              </w:rPr>
              <w:t xml:space="preserve"> </w:t>
            </w:r>
            <w:r w:rsidR="00D60A0A" w:rsidRPr="00031651">
              <w:rPr>
                <w:rFonts w:ascii="Times New Roman" w:hAnsi="Times New Roman" w:cs="Times New Roman"/>
                <w:sz w:val="24"/>
                <w:szCs w:val="24"/>
                <w:lang w:val="ro-RO"/>
              </w:rPr>
              <w:t>No.2</w:t>
            </w:r>
            <w:r w:rsidRPr="00031651">
              <w:rPr>
                <w:rFonts w:ascii="Times New Roman" w:hAnsi="Times New Roman" w:cs="Times New Roman"/>
                <w:sz w:val="24"/>
                <w:szCs w:val="24"/>
                <w:lang w:val="ro-RO"/>
              </w:rPr>
              <w:t xml:space="preserve"> </w:t>
            </w:r>
            <w:r w:rsidR="00BE2AAC" w:rsidRPr="00031651">
              <w:rPr>
                <w:rFonts w:ascii="Times New Roman" w:hAnsi="Times New Roman" w:cs="Times New Roman"/>
                <w:sz w:val="24"/>
                <w:szCs w:val="24"/>
                <w:lang w:val="ro-RO"/>
              </w:rPr>
              <w:t>contra Republica Moldova</w:t>
            </w:r>
          </w:p>
          <w:p w14:paraId="65283810" w14:textId="77777777" w:rsidR="00514C36" w:rsidRPr="00031651" w:rsidRDefault="00514C36" w:rsidP="00A70C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1D344275" w14:textId="10576ADA" w:rsidR="00514C36" w:rsidRPr="00031651" w:rsidRDefault="00B55B45" w:rsidP="00A70C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33,3</w:t>
            </w:r>
            <w:r w:rsidR="00A6161C" w:rsidRPr="00031651">
              <w:rPr>
                <w:rFonts w:ascii="Times New Roman" w:hAnsi="Times New Roman" w:cs="Times New Roman"/>
                <w:sz w:val="24"/>
                <w:szCs w:val="24"/>
                <w:lang w:val="ro-RO"/>
              </w:rPr>
              <w:t>6,39,42</w:t>
            </w:r>
          </w:p>
        </w:tc>
        <w:tc>
          <w:tcPr>
            <w:tcW w:w="1559" w:type="dxa"/>
          </w:tcPr>
          <w:p w14:paraId="34E51682" w14:textId="1BE97100" w:rsidR="00514C36" w:rsidRPr="00031651" w:rsidRDefault="001F048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Confiscare specială, </w:t>
            </w:r>
            <w:r w:rsidR="0013347D" w:rsidRPr="00031651">
              <w:rPr>
                <w:rFonts w:ascii="Times New Roman" w:hAnsi="Times New Roman" w:cs="Times New Roman"/>
                <w:sz w:val="24"/>
                <w:szCs w:val="24"/>
                <w:lang w:val="ro-RO"/>
              </w:rPr>
              <w:t xml:space="preserve">investigare, </w:t>
            </w:r>
            <w:r w:rsidR="00AD36B8" w:rsidRPr="00031651">
              <w:rPr>
                <w:rFonts w:ascii="Times New Roman" w:hAnsi="Times New Roman" w:cs="Times New Roman"/>
                <w:sz w:val="24"/>
                <w:szCs w:val="24"/>
                <w:lang w:val="ro-RO"/>
              </w:rPr>
              <w:t>sancțiune</w:t>
            </w:r>
            <w:r w:rsidR="002C219D" w:rsidRPr="00031651">
              <w:rPr>
                <w:rFonts w:ascii="Times New Roman" w:hAnsi="Times New Roman" w:cs="Times New Roman"/>
                <w:sz w:val="24"/>
                <w:szCs w:val="24"/>
                <w:lang w:val="ro-RO"/>
              </w:rPr>
              <w:t xml:space="preserve"> </w:t>
            </w:r>
            <w:r w:rsidR="00AD36B8" w:rsidRPr="00031651">
              <w:rPr>
                <w:rFonts w:ascii="Times New Roman" w:hAnsi="Times New Roman" w:cs="Times New Roman"/>
                <w:sz w:val="24"/>
                <w:szCs w:val="24"/>
                <w:lang w:val="ro-RO"/>
              </w:rPr>
              <w:t xml:space="preserve">penală, </w:t>
            </w:r>
            <w:r w:rsidR="00F75DCF" w:rsidRPr="00031651">
              <w:rPr>
                <w:rFonts w:ascii="Times New Roman" w:hAnsi="Times New Roman" w:cs="Times New Roman"/>
                <w:sz w:val="24"/>
                <w:szCs w:val="24"/>
                <w:lang w:val="ro-RO"/>
              </w:rPr>
              <w:t>stabilirea vinovăției</w:t>
            </w:r>
            <w:r w:rsidR="004A0409" w:rsidRPr="00031651">
              <w:rPr>
                <w:rFonts w:ascii="Times New Roman" w:hAnsi="Times New Roman" w:cs="Times New Roman"/>
                <w:sz w:val="24"/>
                <w:szCs w:val="24"/>
                <w:lang w:val="ro-RO"/>
              </w:rPr>
              <w:t>, prescripție</w:t>
            </w:r>
            <w:r w:rsidR="00F456FC" w:rsidRPr="00031651">
              <w:rPr>
                <w:rFonts w:ascii="Times New Roman" w:hAnsi="Times New Roman" w:cs="Times New Roman"/>
                <w:sz w:val="24"/>
                <w:szCs w:val="24"/>
                <w:lang w:val="ro-RO"/>
              </w:rPr>
              <w:t>, activitate comercială neautorizată</w:t>
            </w:r>
            <w:r w:rsidR="002C219D" w:rsidRPr="00031651">
              <w:rPr>
                <w:rFonts w:ascii="Times New Roman" w:hAnsi="Times New Roman" w:cs="Times New Roman"/>
                <w:sz w:val="24"/>
                <w:szCs w:val="24"/>
                <w:lang w:val="ro-RO"/>
              </w:rPr>
              <w:t>.</w:t>
            </w:r>
            <w:r w:rsidR="00D13E98" w:rsidRPr="00031651">
              <w:rPr>
                <w:rFonts w:ascii="Times New Roman" w:hAnsi="Times New Roman" w:cs="Times New Roman"/>
                <w:sz w:val="24"/>
                <w:szCs w:val="24"/>
                <w:lang w:val="ro-RO"/>
              </w:rPr>
              <w:t xml:space="preserve"> </w:t>
            </w:r>
          </w:p>
        </w:tc>
        <w:tc>
          <w:tcPr>
            <w:tcW w:w="6804" w:type="dxa"/>
          </w:tcPr>
          <w:p w14:paraId="26514CB6" w14:textId="1607153F" w:rsidR="00514C36" w:rsidRPr="00031651" w:rsidRDefault="001479DE" w:rsidP="00A70C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33</w:t>
            </w:r>
            <w:r w:rsidRPr="00031651">
              <w:rPr>
                <w:rFonts w:ascii="Times New Roman" w:hAnsi="Times New Roman" w:cs="Times New Roman"/>
                <w:sz w:val="24"/>
                <w:szCs w:val="24"/>
              </w:rPr>
              <w:t xml:space="preserve">. </w:t>
            </w:r>
            <w:r w:rsidR="005A599C" w:rsidRPr="00031651">
              <w:rPr>
                <w:rFonts w:ascii="Times New Roman" w:hAnsi="Times New Roman" w:cs="Times New Roman"/>
                <w:sz w:val="24"/>
                <w:szCs w:val="24"/>
              </w:rPr>
              <w:t>Curtea a constata că d</w:t>
            </w:r>
            <w:r w:rsidRPr="00031651">
              <w:rPr>
                <w:rFonts w:ascii="Times New Roman" w:hAnsi="Times New Roman" w:cs="Times New Roman"/>
                <w:sz w:val="24"/>
                <w:szCs w:val="24"/>
              </w:rPr>
              <w:t>ispunerea unei măsuri de confiscare ca atare nu echivalează cu o sancțiune penală și, de asemenea, nu impunea autorităților naționale, potrivit dreptului intern, să stabilească vinovăția reclamantului pentru săvârșirea unei infracțiuni</w:t>
            </w:r>
            <w:r w:rsidR="00DD12C6" w:rsidRPr="00031651">
              <w:rPr>
                <w:rFonts w:ascii="Times New Roman" w:hAnsi="Times New Roman" w:cs="Times New Roman"/>
                <w:sz w:val="24"/>
                <w:szCs w:val="24"/>
              </w:rPr>
              <w:t xml:space="preserve"> </w:t>
            </w:r>
            <w:r w:rsidR="004F65CE" w:rsidRPr="00031651">
              <w:rPr>
                <w:rFonts w:ascii="Times New Roman" w:hAnsi="Times New Roman" w:cs="Times New Roman"/>
                <w:sz w:val="24"/>
                <w:szCs w:val="24"/>
              </w:rPr>
              <w:t>sau să exprime opinia că reclamantul ar fi vinovat la standardul penal al săvârșirii infracțiunii.</w:t>
            </w:r>
          </w:p>
          <w:p w14:paraId="3C29EF01" w14:textId="77777777" w:rsidR="0018728B" w:rsidRPr="00031651" w:rsidRDefault="0018728B" w:rsidP="00A70C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36.</w:t>
            </w:r>
            <w:r w:rsidRPr="00031651">
              <w:rPr>
                <w:rFonts w:ascii="Times New Roman" w:hAnsi="Times New Roman" w:cs="Times New Roman"/>
                <w:sz w:val="24"/>
                <w:szCs w:val="24"/>
              </w:rPr>
              <w:t xml:space="preserve"> Curtea reiterează că trebuie exercitată o atenție sporită la formularea motivării într-o decizie de confiscare emisă după încetarea urmăririi penale. Cu toate acestea, formulările în discuție nu pot, prin ele însele, să echivaleze cu o afirmare explicită a imputării răspunderii penale reclamantului. Este necesar să fie analizat contextul general al procedurii și particularitățile acesteia. Aceste considerente sunt aplicabile și atunci când limbajul utilizat într-o hotărâre ar putea fi greșit interpretat, dar nu poate, pe baza unei evaluări corecte a contextului legislativ intern, să fie caracterizat ca reflectând opinia că reclamantul este vinovat la standardul penal al săvârșirii infracțiunii.</w:t>
            </w:r>
          </w:p>
          <w:p w14:paraId="4B4B3BB3" w14:textId="09D7DE91" w:rsidR="005C3D46" w:rsidRPr="00031651" w:rsidRDefault="005315E7" w:rsidP="00A70C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39.</w:t>
            </w:r>
            <w:r w:rsidRPr="00031651">
              <w:rPr>
                <w:rFonts w:ascii="Times New Roman" w:hAnsi="Times New Roman" w:cs="Times New Roman"/>
                <w:sz w:val="24"/>
                <w:szCs w:val="24"/>
              </w:rPr>
              <w:t xml:space="preserve"> </w:t>
            </w:r>
            <w:r w:rsidR="009F1FEB" w:rsidRPr="00031651">
              <w:rPr>
                <w:rFonts w:ascii="Times New Roman" w:hAnsi="Times New Roman" w:cs="Times New Roman"/>
                <w:sz w:val="24"/>
                <w:szCs w:val="24"/>
              </w:rPr>
              <w:t xml:space="preserve">Curtea reamintește că </w:t>
            </w:r>
            <w:r w:rsidR="00BB195A" w:rsidRPr="00031651">
              <w:rPr>
                <w:rFonts w:ascii="Times New Roman" w:hAnsi="Times New Roman" w:cs="Times New Roman"/>
                <w:sz w:val="24"/>
                <w:szCs w:val="24"/>
              </w:rPr>
              <w:t>e</w:t>
            </w:r>
            <w:r w:rsidRPr="00031651">
              <w:rPr>
                <w:rFonts w:ascii="Times New Roman" w:hAnsi="Times New Roman" w:cs="Times New Roman"/>
                <w:sz w:val="24"/>
                <w:szCs w:val="24"/>
              </w:rPr>
              <w:t>ste de remarcat că temeiul juridic utilizat pentru confiscare în prezenta cauză viza bunuri obținute dintr-un „act interzis de Codul penal”, spre deosebire de bunuri obținute prin săvârșirea unei infracțiuni. Având în vedere alegerea acestui temei juridic, motivarea autorităților interne nu a vizat constatarea vinovăției penale, ci originea ilicită a bunurilor supuse confiscării.</w:t>
            </w:r>
          </w:p>
          <w:p w14:paraId="289015B9" w14:textId="10C5BFCA" w:rsidR="007D3ABE" w:rsidRPr="00031651" w:rsidRDefault="007D3ABE" w:rsidP="00A70CD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42</w:t>
            </w:r>
            <w:r w:rsidRPr="00031651">
              <w:rPr>
                <w:rFonts w:ascii="Times New Roman" w:hAnsi="Times New Roman" w:cs="Times New Roman"/>
                <w:sz w:val="24"/>
                <w:szCs w:val="24"/>
              </w:rPr>
              <w:t xml:space="preserve">. </w:t>
            </w:r>
            <w:r w:rsidR="0038292C" w:rsidRPr="00031651">
              <w:rPr>
                <w:rFonts w:ascii="Times New Roman" w:hAnsi="Times New Roman" w:cs="Times New Roman"/>
                <w:sz w:val="24"/>
                <w:szCs w:val="24"/>
              </w:rPr>
              <w:t xml:space="preserve">Curtea stabilește că măsura confiscării speciale, care a  făcut </w:t>
            </w:r>
            <w:r w:rsidR="0038292C" w:rsidRPr="00031651">
              <w:rPr>
                <w:rFonts w:ascii="Times New Roman" w:hAnsi="Times New Roman" w:cs="Times New Roman"/>
                <w:sz w:val="24"/>
                <w:szCs w:val="24"/>
              </w:rPr>
              <w:lastRenderedPageBreak/>
              <w:t>trimitere</w:t>
            </w:r>
            <w:r w:rsidR="00F87C63" w:rsidRPr="00031651">
              <w:rPr>
                <w:rFonts w:ascii="Times New Roman" w:hAnsi="Times New Roman" w:cs="Times New Roman"/>
                <w:sz w:val="24"/>
                <w:szCs w:val="24"/>
              </w:rPr>
              <w:t xml:space="preserve"> la originea ilicită a bunurilor supuse confiscării, nu ar fi putut</w:t>
            </w:r>
            <w:r w:rsidR="00B55B45" w:rsidRPr="00031651">
              <w:rPr>
                <w:rFonts w:ascii="Times New Roman" w:hAnsi="Times New Roman" w:cs="Times New Roman"/>
                <w:sz w:val="24"/>
                <w:szCs w:val="24"/>
              </w:rPr>
              <w:t xml:space="preserve"> </w:t>
            </w:r>
            <w:r w:rsidR="00F87C63" w:rsidRPr="00031651">
              <w:rPr>
                <w:rFonts w:ascii="Times New Roman" w:hAnsi="Times New Roman" w:cs="Times New Roman"/>
                <w:sz w:val="24"/>
                <w:szCs w:val="24"/>
              </w:rPr>
              <w:t>fi în mod rezonabil interpretată ca o afirmare a vinovăției</w:t>
            </w:r>
            <w:r w:rsidR="00B55B45" w:rsidRPr="00031651">
              <w:rPr>
                <w:rFonts w:ascii="Times New Roman" w:hAnsi="Times New Roman" w:cs="Times New Roman"/>
                <w:sz w:val="24"/>
                <w:szCs w:val="24"/>
              </w:rPr>
              <w:t xml:space="preserve"> la standardul penal al săvârșirii unei infracțiuni. </w:t>
            </w:r>
          </w:p>
        </w:tc>
        <w:tc>
          <w:tcPr>
            <w:tcW w:w="2693" w:type="dxa"/>
          </w:tcPr>
          <w:p w14:paraId="03EE9547" w14:textId="77777777" w:rsidR="00C839F6" w:rsidRPr="00031651" w:rsidRDefault="00C839F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265EA096" w14:textId="73082E69" w:rsidR="00514C36" w:rsidRPr="00031651" w:rsidRDefault="00A27FA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Neviolare a art.6 </w:t>
            </w:r>
            <w:r w:rsidRPr="00031651">
              <w:rPr>
                <w:rFonts w:ascii="Times New Roman" w:hAnsi="Times New Roman" w:cs="Times New Roman"/>
                <w:sz w:val="24"/>
                <w:szCs w:val="24"/>
              </w:rPr>
              <w:t xml:space="preserve">§ </w:t>
            </w:r>
            <w:r w:rsidR="00C839F6" w:rsidRPr="00031651">
              <w:rPr>
                <w:rFonts w:ascii="Times New Roman" w:hAnsi="Times New Roman" w:cs="Times New Roman"/>
                <w:sz w:val="24"/>
                <w:szCs w:val="24"/>
              </w:rPr>
              <w:t>2</w:t>
            </w:r>
          </w:p>
        </w:tc>
      </w:tr>
      <w:tr w:rsidR="004C3061" w:rsidRPr="00031651" w14:paraId="2610A948"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39796B5F" w14:textId="77777777" w:rsidR="007A6B6F" w:rsidRPr="00031651" w:rsidRDefault="007A6B6F" w:rsidP="00B04FC2">
            <w:pPr>
              <w:jc w:val="center"/>
              <w:rPr>
                <w:rFonts w:ascii="Times New Roman" w:hAnsi="Times New Roman" w:cs="Times New Roman"/>
                <w:b w:val="0"/>
                <w:bCs w:val="0"/>
                <w:sz w:val="24"/>
                <w:szCs w:val="24"/>
                <w:lang w:val="ro-RO"/>
              </w:rPr>
            </w:pPr>
          </w:p>
          <w:p w14:paraId="3D8418C0" w14:textId="3075747F" w:rsidR="004C3061" w:rsidRPr="00031651" w:rsidRDefault="00965F3B"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t>6</w:t>
            </w:r>
            <w:r w:rsidR="00811AFF" w:rsidRPr="00031651">
              <w:rPr>
                <w:rFonts w:ascii="Times New Roman" w:hAnsi="Times New Roman" w:cs="Times New Roman"/>
                <w:sz w:val="24"/>
                <w:szCs w:val="24"/>
                <w:lang w:val="ro-RO"/>
              </w:rPr>
              <w:t xml:space="preserve"> </w:t>
            </w:r>
            <w:r w:rsidR="00811AFF" w:rsidRPr="00031651">
              <w:rPr>
                <w:rFonts w:ascii="Times New Roman" w:hAnsi="Times New Roman" w:cs="Times New Roman"/>
                <w:sz w:val="24"/>
                <w:szCs w:val="24"/>
              </w:rPr>
              <w:t>§ 1</w:t>
            </w:r>
          </w:p>
          <w:p w14:paraId="17D6F81D" w14:textId="77777777" w:rsidR="00965F3B" w:rsidRPr="00031651" w:rsidRDefault="00965F3B" w:rsidP="00B04FC2">
            <w:pPr>
              <w:jc w:val="center"/>
              <w:rPr>
                <w:rFonts w:ascii="Times New Roman" w:hAnsi="Times New Roman" w:cs="Times New Roman"/>
                <w:b w:val="0"/>
                <w:bCs w:val="0"/>
                <w:sz w:val="24"/>
                <w:szCs w:val="24"/>
                <w:lang w:val="ro-RO"/>
              </w:rPr>
            </w:pPr>
          </w:p>
          <w:p w14:paraId="268C474B" w14:textId="016B318A" w:rsidR="00965F3B" w:rsidRPr="00031651" w:rsidRDefault="00965F3B"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1 Pr.1</w:t>
            </w:r>
          </w:p>
        </w:tc>
        <w:tc>
          <w:tcPr>
            <w:tcW w:w="1525" w:type="dxa"/>
          </w:tcPr>
          <w:p w14:paraId="45568E46" w14:textId="7BFA5126" w:rsidR="00A13178" w:rsidRPr="00031651" w:rsidRDefault="004A5CD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Non bis in idem </w:t>
            </w:r>
          </w:p>
          <w:p w14:paraId="46F74C86" w14:textId="77777777" w:rsidR="005C5CFE" w:rsidRPr="00031651" w:rsidRDefault="005C5CF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B5283BA" w14:textId="77777777" w:rsidR="005C5CFE" w:rsidRPr="00031651" w:rsidRDefault="005C5CF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E97E12F" w14:textId="183F9C0E" w:rsidR="00A13178" w:rsidRPr="00031651" w:rsidRDefault="00272E3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Pro</w:t>
            </w:r>
            <w:r w:rsidR="00192551" w:rsidRPr="00031651">
              <w:rPr>
                <w:rFonts w:ascii="Times New Roman" w:hAnsi="Times New Roman" w:cs="Times New Roman"/>
                <w:sz w:val="24"/>
                <w:szCs w:val="24"/>
                <w:lang w:val="ro-RO"/>
              </w:rPr>
              <w:t xml:space="preserve">tecția </w:t>
            </w:r>
            <w:r w:rsidR="00121EB0" w:rsidRPr="00031651">
              <w:rPr>
                <w:rFonts w:ascii="Times New Roman" w:hAnsi="Times New Roman" w:cs="Times New Roman"/>
                <w:sz w:val="24"/>
                <w:szCs w:val="24"/>
                <w:lang w:val="ro-RO"/>
              </w:rPr>
              <w:t>protecției</w:t>
            </w:r>
          </w:p>
        </w:tc>
        <w:tc>
          <w:tcPr>
            <w:tcW w:w="1633" w:type="dxa"/>
          </w:tcPr>
          <w:p w14:paraId="0BC21AA9" w14:textId="376A3094" w:rsidR="00F87D91" w:rsidRPr="00031651" w:rsidRDefault="00F87D91" w:rsidP="00965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59627/15</w:t>
            </w:r>
          </w:p>
          <w:p w14:paraId="5F951F8D" w14:textId="3D211FAD" w:rsidR="00F87D91" w:rsidRPr="00031651" w:rsidRDefault="00F87D91" w:rsidP="00965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22</w:t>
            </w:r>
            <w:r w:rsidR="003E3DCD" w:rsidRPr="00031651">
              <w:rPr>
                <w:rFonts w:ascii="Times New Roman" w:hAnsi="Times New Roman" w:cs="Times New Roman"/>
                <w:sz w:val="24"/>
                <w:szCs w:val="24"/>
                <w:lang w:val="ro-RO"/>
              </w:rPr>
              <w:t>/01/2025</w:t>
            </w:r>
          </w:p>
          <w:p w14:paraId="0F96B437" w14:textId="4670808A" w:rsidR="002C219D" w:rsidRPr="00031651" w:rsidRDefault="00F40C1E" w:rsidP="00965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Tasoncom </w:t>
            </w:r>
            <w:r w:rsidR="003E3DCD" w:rsidRPr="00031651">
              <w:rPr>
                <w:rFonts w:ascii="Times New Roman" w:hAnsi="Times New Roman" w:cs="Times New Roman"/>
                <w:sz w:val="24"/>
                <w:szCs w:val="24"/>
                <w:lang w:val="ro-RO"/>
              </w:rPr>
              <w:t xml:space="preserve">SRL </w:t>
            </w:r>
            <w:r w:rsidR="00965F3B" w:rsidRPr="00031651">
              <w:rPr>
                <w:rFonts w:ascii="Times New Roman" w:hAnsi="Times New Roman" w:cs="Times New Roman"/>
                <w:sz w:val="24"/>
                <w:szCs w:val="24"/>
                <w:lang w:val="ro-RO"/>
              </w:rPr>
              <w:t>contra Republica Moldova</w:t>
            </w:r>
          </w:p>
          <w:p w14:paraId="53A6B937" w14:textId="1C1ADAB8" w:rsidR="004C3061" w:rsidRPr="00031651" w:rsidRDefault="004C306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3E1C579C" w14:textId="37FE2AC5" w:rsidR="004C3061" w:rsidRPr="00031651" w:rsidRDefault="004C6ABA"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44,47,48,49,</w:t>
            </w:r>
            <w:r w:rsidR="0089353D" w:rsidRPr="00031651">
              <w:rPr>
                <w:rFonts w:ascii="Times New Roman" w:hAnsi="Times New Roman" w:cs="Times New Roman"/>
                <w:sz w:val="24"/>
                <w:szCs w:val="24"/>
                <w:lang w:val="ro-RO"/>
              </w:rPr>
              <w:t>51,</w:t>
            </w:r>
            <w:r w:rsidR="004A43B3" w:rsidRPr="00031651">
              <w:rPr>
                <w:rFonts w:ascii="Times New Roman" w:hAnsi="Times New Roman" w:cs="Times New Roman"/>
                <w:sz w:val="24"/>
                <w:szCs w:val="24"/>
                <w:lang w:val="ro-RO"/>
              </w:rPr>
              <w:t>60,</w:t>
            </w:r>
            <w:r w:rsidR="0089353D" w:rsidRPr="00031651">
              <w:rPr>
                <w:rFonts w:ascii="Times New Roman" w:hAnsi="Times New Roman" w:cs="Times New Roman"/>
                <w:sz w:val="24"/>
                <w:szCs w:val="24"/>
                <w:lang w:val="ro-RO"/>
              </w:rPr>
              <w:t>70</w:t>
            </w:r>
          </w:p>
        </w:tc>
        <w:tc>
          <w:tcPr>
            <w:tcW w:w="1559" w:type="dxa"/>
          </w:tcPr>
          <w:p w14:paraId="6059D356" w14:textId="057A49DB" w:rsidR="009E4369" w:rsidRPr="00031651" w:rsidRDefault="00FF6B38" w:rsidP="00F9405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Procedură fiscală, procedură penală, proceduri paralele, </w:t>
            </w:r>
            <w:r w:rsidR="007E4774" w:rsidRPr="00031651">
              <w:rPr>
                <w:rFonts w:ascii="Times New Roman" w:hAnsi="Times New Roman" w:cs="Times New Roman"/>
                <w:sz w:val="24"/>
                <w:szCs w:val="24"/>
                <w:lang w:val="ro-RO"/>
              </w:rPr>
              <w:t>respectarea bunurilor, disproporționalitate, dublă sancționare</w:t>
            </w:r>
          </w:p>
        </w:tc>
        <w:tc>
          <w:tcPr>
            <w:tcW w:w="6804" w:type="dxa"/>
          </w:tcPr>
          <w:p w14:paraId="5203FF75" w14:textId="77777777" w:rsidR="004C3061" w:rsidRPr="00031651" w:rsidRDefault="00BE2F49"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44</w:t>
            </w:r>
            <w:r w:rsidRPr="00031651">
              <w:rPr>
                <w:rFonts w:ascii="Times New Roman" w:hAnsi="Times New Roman" w:cs="Times New Roman"/>
                <w:sz w:val="24"/>
                <w:szCs w:val="24"/>
              </w:rPr>
              <w:t>. În prezenta cauză, Curtea notează de la început că părțile nu contestă faptul că cele două proceduri, fiscală și penală, au avut ca obiect aceleași fapte, și anume deducerile efectuate de către societatea reclamantă în declarațiile sale fiscale pentru anii 2007 și 2008 cu privire la achiziții de bunuri de la furnizori care nu erau supuși plății TVA. Curtea nu vede niciun motiv pentru a ajunge la o concluzie diferită. Prin urmare, ea constată că, în prezenta cauză, aceleași fapte de care este acuzată societatea reclamantă au făcut obiectul a două proceduri penale, una fiscală și cealaltă strict penală.</w:t>
            </w:r>
          </w:p>
          <w:p w14:paraId="3B158A6C" w14:textId="77777777" w:rsidR="00BE2F49" w:rsidRPr="00031651" w:rsidRDefault="005537C5"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47</w:t>
            </w:r>
            <w:r w:rsidRPr="00031651">
              <w:rPr>
                <w:rFonts w:ascii="Times New Roman" w:hAnsi="Times New Roman" w:cs="Times New Roman"/>
                <w:sz w:val="24"/>
                <w:szCs w:val="24"/>
              </w:rPr>
              <w:t>. Curtea observă că, prin decizia din 20 mai 2015 de respingere a cererii de revizuire în procedura fiscală, Curtea Supremă de Justiție a disociat în mod clar răspunderea fiscală de răspunderea penală propriu-zisă, considerând că acestea erau necorelate și autonome. De asemenea, Curtea consideră că din elementele de care dispune nu reiese cu certitudine că cele două proceduri urmăreau scopuri complementare și se refereau la aspecte diferite ale acțiunilor imputate societății reclamante sau că procedurile combinate erau o consecință previzibilă în dreptul intern al comportamentului în cauză.</w:t>
            </w:r>
            <w:r w:rsidR="00E95A98" w:rsidRPr="00031651">
              <w:rPr>
                <w:rFonts w:ascii="Times New Roman" w:hAnsi="Times New Roman" w:cs="Times New Roman"/>
                <w:sz w:val="24"/>
                <w:szCs w:val="24"/>
              </w:rPr>
              <w:t xml:space="preserve"> </w:t>
            </w:r>
            <w:r w:rsidRPr="00031651">
              <w:rPr>
                <w:rFonts w:ascii="Times New Roman" w:hAnsi="Times New Roman" w:cs="Times New Roman"/>
                <w:sz w:val="24"/>
                <w:szCs w:val="24"/>
              </w:rPr>
              <w:t>Prin urmare, Curtea consideră că nu s-a demonstrat că cele două proceduri – fiscală și penală – urmate în prezenta cauză s-au combinat în așa fel încât să fie integrate într-un ansamblu coerent. Prin urmare, Curtea concluzionează că nu există o legătură materială suficient de strânsă între cele două proceduri în cauză</w:t>
            </w:r>
            <w:r w:rsidR="00823F49" w:rsidRPr="00031651">
              <w:rPr>
                <w:rFonts w:ascii="Times New Roman" w:hAnsi="Times New Roman" w:cs="Times New Roman"/>
                <w:sz w:val="24"/>
                <w:szCs w:val="24"/>
              </w:rPr>
              <w:t>.</w:t>
            </w:r>
          </w:p>
          <w:p w14:paraId="2DBE7374" w14:textId="77777777" w:rsidR="00823F49" w:rsidRPr="00031651" w:rsidRDefault="00823F49"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48</w:t>
            </w:r>
            <w:r w:rsidRPr="00031651">
              <w:rPr>
                <w:rFonts w:ascii="Times New Roman" w:hAnsi="Times New Roman" w:cs="Times New Roman"/>
                <w:sz w:val="24"/>
                <w:szCs w:val="24"/>
              </w:rPr>
              <w:t>. Prin urmare, Curtea consideră că a existat o repetare a procedurii penale împotriva societății reclamante pentru aceleași fapte.</w:t>
            </w:r>
          </w:p>
          <w:p w14:paraId="60AD83B7" w14:textId="77777777" w:rsidR="00823F49" w:rsidRPr="00031651" w:rsidRDefault="00683AF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49</w:t>
            </w:r>
            <w:r w:rsidRPr="00031651">
              <w:rPr>
                <w:rFonts w:ascii="Times New Roman" w:hAnsi="Times New Roman" w:cs="Times New Roman"/>
                <w:sz w:val="24"/>
                <w:szCs w:val="24"/>
              </w:rPr>
              <w:t xml:space="preserve">. Curtea notează că societatea reclamantă s-a aflat în situația în care, pentru aceleași fapte, a fost achitată definitiv în cadrul procesului penal propriu-zis, dar condamnată în cadrul procedurii fiscale, despre care s-a concluzionat că trebuie considerată penală în sensul Articolului 6 din Convenție. În opinia Curții, această situație </w:t>
            </w:r>
            <w:r w:rsidRPr="00031651">
              <w:rPr>
                <w:rFonts w:ascii="Times New Roman" w:hAnsi="Times New Roman" w:cs="Times New Roman"/>
                <w:sz w:val="24"/>
                <w:szCs w:val="24"/>
              </w:rPr>
              <w:lastRenderedPageBreak/>
              <w:t>este greu de conciliat cu principiul securității raporturilor juridice, inerent Articolului 6 din Convenție. În special, Curtea consideră că respingerea cererii de revizuire depusă de către societatea reclamantă și menținerea condamnării pronunțate în cadrul procedurii fiscale privează achitarea definitivă de care beneficiase societatea reclamantă în cadrul procesului penal de cel puțin o parte din efectele sale practice și, astfel, sunt contrare acestuia. Prin urmare, Curtea consideră că rezultatul cerut de Articolul 6 § 1 din Convenție nu a fost atins în cadrul procedurii fiscale împotriva societății reclamante.</w:t>
            </w:r>
          </w:p>
          <w:p w14:paraId="401FB6DE" w14:textId="77777777" w:rsidR="002441B6" w:rsidRPr="00031651" w:rsidRDefault="00EF32A9"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51</w:t>
            </w:r>
            <w:r w:rsidRPr="00031651">
              <w:rPr>
                <w:rFonts w:ascii="Times New Roman" w:hAnsi="Times New Roman" w:cs="Times New Roman"/>
                <w:sz w:val="24"/>
                <w:szCs w:val="24"/>
              </w:rPr>
              <w:t>. Având în vedere această constatare, Curtea nu consideră necesar să se pronunțe asupra celorlalte argumente invocate de către societatea reclamantă în sensul Articolului 6 § 1 din Convenție.</w:t>
            </w:r>
          </w:p>
          <w:p w14:paraId="710D7802" w14:textId="0DE813F0" w:rsidR="00EF32A9" w:rsidRPr="00031651" w:rsidRDefault="00BA143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60</w:t>
            </w:r>
            <w:r w:rsidRPr="00031651">
              <w:rPr>
                <w:rFonts w:ascii="Times New Roman" w:hAnsi="Times New Roman" w:cs="Times New Roman"/>
                <w:sz w:val="24"/>
                <w:szCs w:val="24"/>
              </w:rPr>
              <w:t>.Cât ține de art. 1 Protocolul 1, Curtea reține că decizia autorităților fiscale de a impune societății reclamante o ajustare fiscală și sancțiuni financiare echivalează cu o ingerință în dreptul ei de a se bucura pașnic de bunurile sale.</w:t>
            </w:r>
            <w:r w:rsidR="00717874" w:rsidRPr="00031651">
              <w:rPr>
                <w:rFonts w:ascii="Times New Roman" w:hAnsi="Times New Roman" w:cs="Times New Roman"/>
                <w:sz w:val="24"/>
                <w:szCs w:val="24"/>
              </w:rPr>
              <w:t xml:space="preserve"> Ea consideră că această ingerință reprezintă o formă de reglementare a utilizării bunurilor în interes public, „pentru a asigura plata impozitelor sau a altor contribuții”, care intră sub incidența normei prevăzute la cel de-al doilea paragraf din Articolul 1 din Protocolul nr. 1 la Convenție.</w:t>
            </w:r>
          </w:p>
        </w:tc>
        <w:tc>
          <w:tcPr>
            <w:tcW w:w="2693" w:type="dxa"/>
          </w:tcPr>
          <w:p w14:paraId="6CC0FE34" w14:textId="77777777" w:rsidR="004C3061" w:rsidRPr="00031651" w:rsidRDefault="006A2F1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lang w:val="ro-RO"/>
              </w:rPr>
              <w:lastRenderedPageBreak/>
              <w:t xml:space="preserve">Violare </w:t>
            </w:r>
            <w:r w:rsidR="000F208F" w:rsidRPr="00031651">
              <w:rPr>
                <w:rFonts w:ascii="Times New Roman" w:hAnsi="Times New Roman" w:cs="Times New Roman"/>
                <w:sz w:val="24"/>
                <w:szCs w:val="24"/>
                <w:lang w:val="ro-RO"/>
              </w:rPr>
              <w:t xml:space="preserve">art. 6 </w:t>
            </w:r>
            <w:r w:rsidR="000F208F" w:rsidRPr="00031651">
              <w:rPr>
                <w:rFonts w:ascii="Times New Roman" w:hAnsi="Times New Roman" w:cs="Times New Roman"/>
                <w:sz w:val="24"/>
                <w:szCs w:val="24"/>
              </w:rPr>
              <w:t>§ 1</w:t>
            </w:r>
          </w:p>
          <w:p w14:paraId="672CD5B3" w14:textId="77777777" w:rsidR="000F208F" w:rsidRPr="00031651" w:rsidRDefault="000F208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Violare art.1 Prot.1</w:t>
            </w:r>
          </w:p>
          <w:p w14:paraId="63BBE1FF" w14:textId="77777777" w:rsidR="00B1149F" w:rsidRPr="00031651" w:rsidRDefault="00B1149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297EF69" w14:textId="77777777" w:rsidR="00B1149F" w:rsidRPr="00031651" w:rsidRDefault="00B1149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70</w:t>
            </w:r>
            <w:r w:rsidRPr="00031651">
              <w:rPr>
                <w:rFonts w:ascii="Times New Roman" w:hAnsi="Times New Roman" w:cs="Times New Roman"/>
                <w:sz w:val="24"/>
                <w:szCs w:val="24"/>
              </w:rPr>
              <w:t>. Având în vedere circumstanțele cauzei, Curtea consideră că problema aplicării Articolului 41 în privința prejudiciului material nu poate fi soluționată. Prin urmare, ea hotărăște să o rezerve și să stabilească o procedură ulterioară, ținând cont de posibilitatea unui acord între Guvern și reclamantă.</w:t>
            </w:r>
          </w:p>
          <w:p w14:paraId="1B0B3F38" w14:textId="77777777" w:rsidR="00580698" w:rsidRPr="00031651" w:rsidRDefault="0058069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C2C0531" w14:textId="77777777" w:rsidR="00580698" w:rsidRPr="00031651" w:rsidRDefault="0058069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 xml:space="preserve">4700 EUR </w:t>
            </w:r>
          </w:p>
          <w:p w14:paraId="3A35AC31" w14:textId="77777777" w:rsidR="00580698" w:rsidRPr="00031651" w:rsidRDefault="0058069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(prejudiciu moral)</w:t>
            </w:r>
          </w:p>
          <w:p w14:paraId="41EE8D51" w14:textId="77777777" w:rsidR="0056009E" w:rsidRPr="00031651" w:rsidRDefault="0056009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160C28F" w14:textId="77777777" w:rsidR="00407B42" w:rsidRPr="00031651" w:rsidRDefault="00407B4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AB249B9" w14:textId="77777777" w:rsidR="00407B42" w:rsidRPr="00031651" w:rsidRDefault="0056009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2500 EUR</w:t>
            </w:r>
          </w:p>
          <w:p w14:paraId="2CC1E8E7" w14:textId="2D10900F" w:rsidR="00580698" w:rsidRPr="00031651" w:rsidRDefault="00407B4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rPr>
              <w:t>(costuri și cheltuieli)</w:t>
            </w:r>
            <w:r w:rsidR="0056009E" w:rsidRPr="00031651">
              <w:rPr>
                <w:rFonts w:ascii="Times New Roman" w:hAnsi="Times New Roman" w:cs="Times New Roman"/>
                <w:sz w:val="24"/>
                <w:szCs w:val="24"/>
              </w:rPr>
              <w:t xml:space="preserve"> </w:t>
            </w:r>
          </w:p>
        </w:tc>
      </w:tr>
      <w:tr w:rsidR="009E4369" w:rsidRPr="00031651" w14:paraId="4DDFE757"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29FDCA72" w14:textId="77777777" w:rsidR="009E4369" w:rsidRPr="00031651" w:rsidRDefault="0059610B"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t>3</w:t>
            </w:r>
          </w:p>
          <w:p w14:paraId="6F6C2399" w14:textId="77777777" w:rsidR="0074285B" w:rsidRPr="00031651" w:rsidRDefault="0074285B" w:rsidP="00B04FC2">
            <w:pPr>
              <w:jc w:val="center"/>
              <w:rPr>
                <w:rFonts w:ascii="Times New Roman" w:hAnsi="Times New Roman" w:cs="Times New Roman"/>
                <w:b w:val="0"/>
                <w:bCs w:val="0"/>
                <w:sz w:val="24"/>
                <w:szCs w:val="24"/>
                <w:lang w:val="ro-RO"/>
              </w:rPr>
            </w:pPr>
          </w:p>
          <w:p w14:paraId="03F0F74E" w14:textId="0BC087B2" w:rsidR="0074285B" w:rsidRPr="00031651" w:rsidRDefault="0074285B"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14+</w:t>
            </w:r>
            <w:r w:rsidR="00566A08" w:rsidRPr="00031651">
              <w:rPr>
                <w:rFonts w:ascii="Times New Roman" w:hAnsi="Times New Roman" w:cs="Times New Roman"/>
                <w:sz w:val="24"/>
                <w:szCs w:val="24"/>
                <w:lang w:val="ro-RO"/>
              </w:rPr>
              <w:t>8</w:t>
            </w:r>
          </w:p>
        </w:tc>
        <w:tc>
          <w:tcPr>
            <w:tcW w:w="1525" w:type="dxa"/>
          </w:tcPr>
          <w:p w14:paraId="2B1780FF" w14:textId="3FE8CCA8" w:rsidR="007D3A71" w:rsidRPr="00031651" w:rsidRDefault="007D3A71" w:rsidP="00A31B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Anchetă ineficientă</w:t>
            </w:r>
          </w:p>
          <w:p w14:paraId="315A906D" w14:textId="77777777" w:rsidR="004A43B3" w:rsidRPr="00031651" w:rsidRDefault="004A43B3" w:rsidP="00A31B4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4E4C0DBA" w14:textId="0BC143BD" w:rsidR="007D3A71" w:rsidRPr="00031651" w:rsidRDefault="00476CE2" w:rsidP="00060F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Tratament inuman și degradant</w:t>
            </w:r>
            <w:r w:rsidR="00762F0B" w:rsidRPr="00031651">
              <w:rPr>
                <w:rFonts w:ascii="Times New Roman" w:hAnsi="Times New Roman" w:cs="Times New Roman"/>
                <w:sz w:val="24"/>
                <w:szCs w:val="24"/>
                <w:lang w:val="ro-RO"/>
              </w:rPr>
              <w:t>: condițiile materiale din psihiatri</w:t>
            </w:r>
            <w:r w:rsidR="00E97830" w:rsidRPr="00031651">
              <w:rPr>
                <w:rFonts w:ascii="Times New Roman" w:hAnsi="Times New Roman" w:cs="Times New Roman"/>
                <w:sz w:val="24"/>
                <w:szCs w:val="24"/>
                <w:lang w:val="ro-RO"/>
              </w:rPr>
              <w:t xml:space="preserve">e </w:t>
            </w:r>
            <w:r w:rsidRPr="00031651">
              <w:rPr>
                <w:rFonts w:ascii="Times New Roman" w:hAnsi="Times New Roman" w:cs="Times New Roman"/>
                <w:sz w:val="24"/>
                <w:szCs w:val="24"/>
                <w:lang w:val="ro-RO"/>
              </w:rPr>
              <w:t xml:space="preserve"> </w:t>
            </w:r>
          </w:p>
        </w:tc>
        <w:tc>
          <w:tcPr>
            <w:tcW w:w="1633" w:type="dxa"/>
          </w:tcPr>
          <w:p w14:paraId="050FD860" w14:textId="3F09849E" w:rsidR="003B3762" w:rsidRPr="00031651" w:rsidRDefault="003B3762" w:rsidP="005961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39468</w:t>
            </w:r>
            <w:r w:rsidR="00191ABF" w:rsidRPr="00031651">
              <w:rPr>
                <w:rFonts w:ascii="Times New Roman" w:hAnsi="Times New Roman" w:cs="Times New Roman"/>
                <w:sz w:val="24"/>
                <w:szCs w:val="24"/>
                <w:lang w:val="ro-RO"/>
              </w:rPr>
              <w:t>/17</w:t>
            </w:r>
          </w:p>
          <w:p w14:paraId="4E8AF3F1" w14:textId="1DC017BE" w:rsidR="003B3762" w:rsidRPr="00031651" w:rsidRDefault="0059610B" w:rsidP="005961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19/02/2025</w:t>
            </w:r>
          </w:p>
          <w:p w14:paraId="4AB9506C" w14:textId="4BEC97DE" w:rsidR="00112AB9" w:rsidRPr="00031651" w:rsidRDefault="00112AB9" w:rsidP="0059610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Clipea și Grosu </w:t>
            </w:r>
            <w:r w:rsidR="003B3762" w:rsidRPr="00031651">
              <w:rPr>
                <w:rFonts w:ascii="Times New Roman" w:hAnsi="Times New Roman" w:cs="Times New Roman"/>
                <w:sz w:val="24"/>
                <w:szCs w:val="24"/>
                <w:lang w:val="ro-RO"/>
              </w:rPr>
              <w:t>contra Republica Moldova</w:t>
            </w:r>
          </w:p>
          <w:p w14:paraId="56B780B8" w14:textId="77777777" w:rsidR="009E4369" w:rsidRPr="00031651" w:rsidRDefault="009E4369" w:rsidP="00596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58D1FF1D" w14:textId="08D3DCEA" w:rsidR="009E4369" w:rsidRPr="00031651" w:rsidRDefault="008B5FC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63,</w:t>
            </w:r>
            <w:r w:rsidR="00B33E15" w:rsidRPr="00031651">
              <w:rPr>
                <w:rFonts w:ascii="Times New Roman" w:hAnsi="Times New Roman" w:cs="Times New Roman"/>
                <w:sz w:val="24"/>
                <w:szCs w:val="24"/>
                <w:lang w:val="ro-RO"/>
              </w:rPr>
              <w:t>79,87,90,91,92,93,97</w:t>
            </w:r>
          </w:p>
        </w:tc>
        <w:tc>
          <w:tcPr>
            <w:tcW w:w="1559" w:type="dxa"/>
          </w:tcPr>
          <w:p w14:paraId="0B34E76F" w14:textId="4615EE7E" w:rsidR="009E4369" w:rsidRPr="00031651" w:rsidRDefault="00665CD5" w:rsidP="009E43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Condițiile spitalului</w:t>
            </w:r>
            <w:r w:rsidR="001E5A96" w:rsidRPr="00031651">
              <w:rPr>
                <w:rFonts w:ascii="Times New Roman" w:hAnsi="Times New Roman" w:cs="Times New Roman"/>
                <w:sz w:val="24"/>
                <w:szCs w:val="24"/>
                <w:lang w:val="ro-RO"/>
              </w:rPr>
              <w:t xml:space="preserve"> de psihi</w:t>
            </w:r>
            <w:r w:rsidR="000E7089" w:rsidRPr="00031651">
              <w:rPr>
                <w:rFonts w:ascii="Times New Roman" w:hAnsi="Times New Roman" w:cs="Times New Roman"/>
                <w:sz w:val="24"/>
                <w:szCs w:val="24"/>
                <w:lang w:val="ro-RO"/>
              </w:rPr>
              <w:t>a</w:t>
            </w:r>
            <w:r w:rsidR="001E5A96" w:rsidRPr="00031651">
              <w:rPr>
                <w:rFonts w:ascii="Times New Roman" w:hAnsi="Times New Roman" w:cs="Times New Roman"/>
                <w:sz w:val="24"/>
                <w:szCs w:val="24"/>
                <w:lang w:val="ro-RO"/>
              </w:rPr>
              <w:t>trie</w:t>
            </w:r>
            <w:r w:rsidR="000E7089" w:rsidRPr="00031651">
              <w:rPr>
                <w:rFonts w:ascii="Times New Roman" w:hAnsi="Times New Roman" w:cs="Times New Roman"/>
                <w:sz w:val="24"/>
                <w:szCs w:val="24"/>
                <w:lang w:val="ro-RO"/>
              </w:rPr>
              <w:t>, tratament</w:t>
            </w:r>
            <w:r w:rsidR="008329FE" w:rsidRPr="00031651">
              <w:rPr>
                <w:rFonts w:ascii="Times New Roman" w:hAnsi="Times New Roman" w:cs="Times New Roman"/>
                <w:sz w:val="24"/>
                <w:szCs w:val="24"/>
                <w:lang w:val="ro-RO"/>
              </w:rPr>
              <w:t xml:space="preserve">ul </w:t>
            </w:r>
            <w:r w:rsidR="00991612" w:rsidRPr="00031651">
              <w:rPr>
                <w:rFonts w:ascii="Times New Roman" w:hAnsi="Times New Roman" w:cs="Times New Roman"/>
                <w:sz w:val="24"/>
                <w:szCs w:val="24"/>
                <w:lang w:val="ro-RO"/>
              </w:rPr>
              <w:t>persoanelor a</w:t>
            </w:r>
            <w:r w:rsidR="008329FE" w:rsidRPr="00031651">
              <w:rPr>
                <w:rFonts w:ascii="Times New Roman" w:hAnsi="Times New Roman" w:cs="Times New Roman"/>
                <w:sz w:val="24"/>
                <w:szCs w:val="24"/>
                <w:lang w:val="ro-RO"/>
              </w:rPr>
              <w:t>flate sub jurisdicția statului</w:t>
            </w:r>
            <w:r w:rsidR="000E7089" w:rsidRPr="00031651">
              <w:rPr>
                <w:rFonts w:ascii="Times New Roman" w:hAnsi="Times New Roman" w:cs="Times New Roman"/>
                <w:sz w:val="24"/>
                <w:szCs w:val="24"/>
                <w:lang w:val="ro-RO"/>
              </w:rPr>
              <w:t>,</w:t>
            </w:r>
            <w:r w:rsidR="00471C3F" w:rsidRPr="00031651">
              <w:rPr>
                <w:rFonts w:ascii="Times New Roman" w:hAnsi="Times New Roman" w:cs="Times New Roman"/>
                <w:sz w:val="24"/>
                <w:szCs w:val="24"/>
                <w:lang w:val="ro-RO"/>
              </w:rPr>
              <w:t xml:space="preserve"> maltratare</w:t>
            </w:r>
            <w:r w:rsidR="000E7089" w:rsidRPr="00031651">
              <w:rPr>
                <w:rFonts w:ascii="Times New Roman" w:hAnsi="Times New Roman" w:cs="Times New Roman"/>
                <w:sz w:val="24"/>
                <w:szCs w:val="24"/>
                <w:lang w:val="ro-RO"/>
              </w:rPr>
              <w:t xml:space="preserve"> </w:t>
            </w:r>
          </w:p>
        </w:tc>
        <w:tc>
          <w:tcPr>
            <w:tcW w:w="6804" w:type="dxa"/>
          </w:tcPr>
          <w:p w14:paraId="1441D0B4" w14:textId="77777777" w:rsidR="009E4369" w:rsidRPr="00031651" w:rsidRDefault="00682CCB"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63. </w:t>
            </w:r>
            <w:r w:rsidRPr="00031651">
              <w:rPr>
                <w:rFonts w:ascii="Times New Roman" w:hAnsi="Times New Roman" w:cs="Times New Roman"/>
                <w:sz w:val="24"/>
                <w:szCs w:val="24"/>
              </w:rPr>
              <w:t>Curtea notează că, în prezenta cauză, reclamanții au fost spitalizați pe bază voluntară. Această distincție între spitalizarea voluntară și cea nevoluntară este un factor important în evaluarea domeniului de aplicare al obligațiilor Statului în baza Convenției. În general, se presupune că pacienții voluntari au consimțit la tratament și păstrează un grad mai mare de autonomie decât cei care sunt internați nevoluntar. Cu toate acestea, acest statut voluntar nu exonerează Statul de obligația sa de a proteja persoanele aflate în situații vulnerabile. Pacienții cu probleme de sănătate mintală, chiar și atunci când sunt internați în mod voluntar, se pot afla în continuare</w:t>
            </w:r>
            <w:r w:rsidRPr="00031651">
              <w:rPr>
                <w:rFonts w:ascii="Times New Roman" w:hAnsi="Times New Roman" w:cs="Times New Roman"/>
                <w:b/>
                <w:bCs/>
                <w:sz w:val="24"/>
                <w:szCs w:val="24"/>
              </w:rPr>
              <w:t xml:space="preserve"> </w:t>
            </w:r>
            <w:r w:rsidRPr="00031651">
              <w:rPr>
                <w:rFonts w:ascii="Times New Roman" w:hAnsi="Times New Roman" w:cs="Times New Roman"/>
                <w:sz w:val="24"/>
                <w:szCs w:val="24"/>
              </w:rPr>
              <w:t>într-o stare fragilă din cauza însăși naturii bolii lor.</w:t>
            </w:r>
          </w:p>
          <w:p w14:paraId="731B2C5D" w14:textId="77777777" w:rsidR="00682CCB" w:rsidRPr="00031651" w:rsidRDefault="00F700B5"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79. </w:t>
            </w:r>
            <w:r w:rsidRPr="00031651">
              <w:rPr>
                <w:rFonts w:ascii="Times New Roman" w:hAnsi="Times New Roman" w:cs="Times New Roman"/>
                <w:sz w:val="24"/>
                <w:szCs w:val="24"/>
              </w:rPr>
              <w:t xml:space="preserve">Curtea constată că, deși primul reclamant a formulat plângeri grave cu privire la rele tratamente, iar procuratura a inițiat o </w:t>
            </w:r>
            <w:r w:rsidRPr="00031651">
              <w:rPr>
                <w:rFonts w:ascii="Times New Roman" w:hAnsi="Times New Roman" w:cs="Times New Roman"/>
                <w:sz w:val="24"/>
                <w:szCs w:val="24"/>
              </w:rPr>
              <w:lastRenderedPageBreak/>
              <w:t>anchetă, dosarul cauzei nu conține suficiente elemente care să permită o concluzie definitivă în această privință, nu în ultimul rând din cauza deficiențelor anchetei referitoare la aceste acuzații. Prin urmare, în lipsa unor elemente de probă prima facie de natură să transfere sarcina probei asupra Guvernului reclamat, Curtea nu poate ajunge la o concluzie cu privire la faptul că primul reclamant a fost supus unor rele tratamente din partea personalului și/sau a altor pacienți din spital. Prin urmare, Curtea concluzionează că nu a existat o încălcare a aspectului material al Articolului 3 din Convenție în această privință</w:t>
            </w:r>
            <w:r w:rsidR="00563CBB" w:rsidRPr="00031651">
              <w:rPr>
                <w:rFonts w:ascii="Times New Roman" w:hAnsi="Times New Roman" w:cs="Times New Roman"/>
                <w:sz w:val="24"/>
                <w:szCs w:val="24"/>
              </w:rPr>
              <w:t xml:space="preserve">. </w:t>
            </w:r>
          </w:p>
          <w:p w14:paraId="220F610D" w14:textId="107BB778" w:rsidR="00563CBB" w:rsidRPr="00031651" w:rsidRDefault="00C264C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87</w:t>
            </w:r>
            <w:r w:rsidRPr="00031651">
              <w:rPr>
                <w:rFonts w:ascii="Times New Roman" w:hAnsi="Times New Roman" w:cs="Times New Roman"/>
                <w:sz w:val="24"/>
                <w:szCs w:val="24"/>
              </w:rPr>
              <w:t>. Curtea notează că acest capăt de plângere al reclamanților și capătul de plângere bazat pe Articolul 3 din Convenție luat separat sunt distincte unul de celălalt. Este adevărat că elementul principal al fiecăruia este pretinsa omisiune a autorităților de a lua măsuri suficiente pentru a proteja integritatea fizică și demnitatea reclamanților. Însă prezenta plângere se bazează pe o afirmație mai amplă: că această omisiune nu a fost un eveniment izolat, ci s-a datorat stereotipurilor generale pe care autoritățile moldovenești le au cu privire la persoanele cu dizabilități intelectuale. Prin urmare, aceasta nu poate fi absorbită de plângerea bazată pe Articolul 3 luat de unul singur și trebuie examinată în mod separat.</w:t>
            </w:r>
          </w:p>
          <w:p w14:paraId="549AC861" w14:textId="77777777" w:rsidR="009C38CE" w:rsidRPr="00031651" w:rsidRDefault="009C38CE"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90. </w:t>
            </w:r>
            <w:r w:rsidRPr="00031651">
              <w:rPr>
                <w:rFonts w:ascii="Times New Roman" w:hAnsi="Times New Roman" w:cs="Times New Roman"/>
                <w:sz w:val="24"/>
                <w:szCs w:val="24"/>
              </w:rPr>
              <w:t>În plus, Curtea reamintește că, în cazul în care o restrângere a drepturilor fundamentale se aplică unei persoane care aparține unui grup social deosebit de vulnerabil, care a suferit în trecut o discriminare considerabilă, cum ar fi persoanele cu dizabilitate mintală, marja de apreciere a Statului este mult mai restrânsă și acesta trebuie să aibă motive temeinice pentru restricțiile respective. Această abordare, care pune în discuție anumite clasificări per se, se justifică prin faptul că astfel de grupuri au fost supuse în istorie unor prejudicii cu consecințe durabile, care au condus la excluderea lor socială.</w:t>
            </w:r>
          </w:p>
          <w:p w14:paraId="32538455" w14:textId="77777777" w:rsidR="009C38CE" w:rsidRPr="00031651" w:rsidRDefault="006D1F2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91. </w:t>
            </w:r>
            <w:r w:rsidRPr="00031651">
              <w:rPr>
                <w:rFonts w:ascii="Times New Roman" w:hAnsi="Times New Roman" w:cs="Times New Roman"/>
                <w:sz w:val="24"/>
                <w:szCs w:val="24"/>
              </w:rPr>
              <w:t xml:space="preserve">Având în vedere argumentele invocate de către reclamanți, Curtea notează că pretinsa diferență de tratament a persoanelor cu dizabilități intelectuale în Republica Moldova nu a rezultat din </w:t>
            </w:r>
            <w:r w:rsidRPr="00031651">
              <w:rPr>
                <w:rFonts w:ascii="Times New Roman" w:hAnsi="Times New Roman" w:cs="Times New Roman"/>
                <w:sz w:val="24"/>
                <w:szCs w:val="24"/>
              </w:rPr>
              <w:lastRenderedPageBreak/>
              <w:t>formularea vreunei dispoziții legale, ci mai degrabă dintr-o politică de facto a agenților statului. Corespunzător, problema care trebuie soluționată în prezenta cauză este dacă modul în care legislația a fost aplicată în practică a rezultat în supunerea reclamanților, din motiv de dizabilitate sau de dizabilitate percepută, unui tratament diferit fără o justificare obiectivă și rezonabilă.</w:t>
            </w:r>
          </w:p>
          <w:p w14:paraId="34A11725" w14:textId="1CE83867" w:rsidR="008D1227" w:rsidRPr="00031651" w:rsidRDefault="008D1227"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92. </w:t>
            </w:r>
            <w:r w:rsidRPr="00031651">
              <w:rPr>
                <w:rFonts w:ascii="Times New Roman" w:hAnsi="Times New Roman" w:cs="Times New Roman"/>
                <w:sz w:val="24"/>
                <w:szCs w:val="24"/>
              </w:rPr>
              <w:t>Curtea notează că, în faza inițială a investigației, atât procuratura, cât și instanțele de judecată s-au bazat pe diagnosticul reclamanților pentru a susține încetarea investigației. În special, ele au constatat că reclamanții erau „persoane cu capacitate juridică limitată, [care,] în aceste circumstanțe, ... [nu erau] întotdeauna în măsură să înțeleagă pe deplin și corect lucrurile care se întâmplă în anumite împrejurări”</w:t>
            </w:r>
            <w:r w:rsidR="009830BB" w:rsidRPr="00031651">
              <w:rPr>
                <w:rFonts w:ascii="Times New Roman" w:hAnsi="Times New Roman" w:cs="Times New Roman"/>
                <w:sz w:val="24"/>
                <w:szCs w:val="24"/>
              </w:rPr>
              <w:t>.</w:t>
            </w:r>
            <w:r w:rsidRPr="00031651">
              <w:rPr>
                <w:rFonts w:ascii="Times New Roman" w:hAnsi="Times New Roman" w:cs="Times New Roman"/>
                <w:sz w:val="24"/>
                <w:szCs w:val="24"/>
              </w:rPr>
              <w:t xml:space="preserve"> </w:t>
            </w:r>
          </w:p>
          <w:p w14:paraId="2A103265" w14:textId="6473B6F1" w:rsidR="006D1F21" w:rsidRPr="00031651" w:rsidRDefault="008D1227"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93</w:t>
            </w:r>
            <w:r w:rsidRPr="00031651">
              <w:rPr>
                <w:rFonts w:ascii="Times New Roman" w:hAnsi="Times New Roman" w:cs="Times New Roman"/>
                <w:sz w:val="24"/>
                <w:szCs w:val="24"/>
              </w:rPr>
              <w:t>. Curtea consideră că motivarea oferită de către autoritățile judiciare relevă o diferență de tratament între reclamanți și alte presupuse victime ale unui tratament inuman și degradant</w:t>
            </w:r>
            <w:r w:rsidR="009830BB" w:rsidRPr="00031651">
              <w:rPr>
                <w:rFonts w:ascii="Times New Roman" w:hAnsi="Times New Roman" w:cs="Times New Roman"/>
                <w:sz w:val="24"/>
                <w:szCs w:val="24"/>
              </w:rPr>
              <w:t>.</w:t>
            </w:r>
            <w:r w:rsidR="00056748" w:rsidRPr="00031651">
              <w:rPr>
                <w:rFonts w:ascii="Times New Roman" w:hAnsi="Times New Roman" w:cs="Times New Roman"/>
                <w:sz w:val="24"/>
                <w:szCs w:val="24"/>
              </w:rPr>
              <w:t xml:space="preserve"> </w:t>
            </w:r>
            <w:r w:rsidRPr="00031651">
              <w:rPr>
                <w:rFonts w:ascii="Times New Roman" w:hAnsi="Times New Roman" w:cs="Times New Roman"/>
                <w:sz w:val="24"/>
                <w:szCs w:val="24"/>
              </w:rPr>
              <w:t>Această diferență se baza pe dizabilitățile intelectuale ale reclamanților și a fost unul dintre motivele respingerii plângerilor acestora ca nefondate</w:t>
            </w:r>
            <w:r w:rsidR="00056748" w:rsidRPr="00031651">
              <w:rPr>
                <w:rFonts w:ascii="Times New Roman" w:hAnsi="Times New Roman" w:cs="Times New Roman"/>
                <w:sz w:val="24"/>
                <w:szCs w:val="24"/>
              </w:rPr>
              <w:t>.</w:t>
            </w:r>
          </w:p>
          <w:p w14:paraId="079F5662" w14:textId="5B333955" w:rsidR="00E43BAD" w:rsidRPr="00031651" w:rsidRDefault="00E43BAD"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1651">
              <w:rPr>
                <w:rFonts w:ascii="Times New Roman" w:hAnsi="Times New Roman" w:cs="Times New Roman"/>
                <w:b/>
                <w:bCs/>
                <w:sz w:val="24"/>
                <w:szCs w:val="24"/>
              </w:rPr>
              <w:t xml:space="preserve">97. </w:t>
            </w:r>
            <w:r w:rsidRPr="00031651">
              <w:rPr>
                <w:rFonts w:ascii="Times New Roman" w:hAnsi="Times New Roman" w:cs="Times New Roman"/>
                <w:sz w:val="24"/>
                <w:szCs w:val="24"/>
              </w:rPr>
              <w:t>În opinia Curții, faptul că atât procuratura, cât și instanțele judecătorești s-au bazat, în raport cu două persoane diferite, pe</w:t>
            </w:r>
            <w:r w:rsidRPr="00031651">
              <w:rPr>
                <w:rFonts w:ascii="Times New Roman" w:hAnsi="Times New Roman" w:cs="Times New Roman"/>
                <w:b/>
                <w:bCs/>
                <w:sz w:val="24"/>
                <w:szCs w:val="24"/>
              </w:rPr>
              <w:t xml:space="preserve"> </w:t>
            </w:r>
            <w:r w:rsidRPr="00031651">
              <w:rPr>
                <w:rFonts w:ascii="Times New Roman" w:hAnsi="Times New Roman" w:cs="Times New Roman"/>
                <w:sz w:val="24"/>
                <w:szCs w:val="24"/>
              </w:rPr>
              <w:t>dizabilitatea lor intelectuală ca motiv de încetare a anchetei, coroborat cu preocuparea CRPD „cu privire la sistemele de plângeri ineficiente și inadecvate, întârzierile în investigații și lipsa de monitorizare a instituțiilor”, demonstrează în mod clar că acțiunile autorităților nu au fost doar un eșec izolat de a proteja integritatea fizică și demnitatea reclamanților, ci, de fapt, au perpetuat o practică discriminatorie față de reclamanții în calitate de persoane cu dizabilitate intelectuală.</w:t>
            </w:r>
          </w:p>
        </w:tc>
        <w:tc>
          <w:tcPr>
            <w:tcW w:w="2693" w:type="dxa"/>
          </w:tcPr>
          <w:p w14:paraId="23E24F3E"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908CFED" w14:textId="59ED915E" w:rsidR="00563CBB" w:rsidRPr="00031651" w:rsidRDefault="00E10D8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Violare art.3</w:t>
            </w:r>
            <w:r w:rsidR="000C7789" w:rsidRPr="00031651">
              <w:rPr>
                <w:rFonts w:ascii="Times New Roman" w:hAnsi="Times New Roman" w:cs="Times New Roman"/>
                <w:sz w:val="24"/>
                <w:szCs w:val="24"/>
                <w:lang w:val="ro-RO"/>
              </w:rPr>
              <w:t xml:space="preserve"> </w:t>
            </w:r>
            <w:r w:rsidR="00EF31B0" w:rsidRPr="00031651">
              <w:rPr>
                <w:rFonts w:ascii="Times New Roman" w:hAnsi="Times New Roman" w:cs="Times New Roman"/>
                <w:sz w:val="24"/>
                <w:szCs w:val="24"/>
                <w:lang w:val="ro-RO"/>
              </w:rPr>
              <w:t>(condițiile materiale de tratament a reclamanților)</w:t>
            </w:r>
          </w:p>
          <w:p w14:paraId="0C3738B2" w14:textId="77777777" w:rsidR="002F5C16" w:rsidRPr="00031651" w:rsidRDefault="002F5C1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22936160" w14:textId="276C97DC" w:rsidR="00EF31B0" w:rsidRPr="00031651" w:rsidRDefault="00EF31B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Vio</w:t>
            </w:r>
            <w:r w:rsidR="005F5B1B" w:rsidRPr="00031651">
              <w:rPr>
                <w:rFonts w:ascii="Times New Roman" w:hAnsi="Times New Roman" w:cs="Times New Roman"/>
                <w:sz w:val="24"/>
                <w:szCs w:val="24"/>
                <w:lang w:val="ro-RO"/>
              </w:rPr>
              <w:t xml:space="preserve">lare art.3 (investigația referitoare la alegațiile </w:t>
            </w:r>
            <w:r w:rsidR="002F5C16" w:rsidRPr="00031651">
              <w:rPr>
                <w:rFonts w:ascii="Times New Roman" w:hAnsi="Times New Roman" w:cs="Times New Roman"/>
                <w:sz w:val="24"/>
                <w:szCs w:val="24"/>
                <w:lang w:val="ro-RO"/>
              </w:rPr>
              <w:t>reclamanților</w:t>
            </w:r>
            <w:r w:rsidR="005F5B1B" w:rsidRPr="00031651">
              <w:rPr>
                <w:rFonts w:ascii="Times New Roman" w:hAnsi="Times New Roman" w:cs="Times New Roman"/>
                <w:sz w:val="24"/>
                <w:szCs w:val="24"/>
                <w:lang w:val="ro-RO"/>
              </w:rPr>
              <w:t>)</w:t>
            </w:r>
          </w:p>
          <w:p w14:paraId="726A64BC" w14:textId="77777777" w:rsidR="002F5C16" w:rsidRPr="00031651" w:rsidRDefault="002F5C1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EA9B1E9" w14:textId="06F67CA4" w:rsidR="002F5C16" w:rsidRPr="00031651" w:rsidRDefault="002F5C1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Neviolare art.3 (</w:t>
            </w:r>
            <w:r w:rsidR="00B173EC" w:rsidRPr="00031651">
              <w:rPr>
                <w:rFonts w:ascii="Times New Roman" w:hAnsi="Times New Roman" w:cs="Times New Roman"/>
                <w:sz w:val="24"/>
                <w:szCs w:val="24"/>
                <w:lang w:val="ro-RO"/>
              </w:rPr>
              <w:t>relele tratamente aplicate primului reclamant</w:t>
            </w:r>
            <w:r w:rsidRPr="00031651">
              <w:rPr>
                <w:rFonts w:ascii="Times New Roman" w:hAnsi="Times New Roman" w:cs="Times New Roman"/>
                <w:sz w:val="24"/>
                <w:szCs w:val="24"/>
                <w:lang w:val="ro-RO"/>
              </w:rPr>
              <w:t>)</w:t>
            </w:r>
          </w:p>
          <w:p w14:paraId="179267B8" w14:textId="4EDEF1C2" w:rsidR="00563CBB" w:rsidRPr="00031651" w:rsidRDefault="00563CB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763CA5FC" w14:textId="41689DCE" w:rsidR="00B173EC" w:rsidRPr="00031651" w:rsidRDefault="00B173E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Violare art.14 coroborat cu art.8</w:t>
            </w:r>
          </w:p>
          <w:p w14:paraId="32EBC9EF" w14:textId="77777777" w:rsidR="00B173EC" w:rsidRPr="00031651" w:rsidRDefault="00B173EC" w:rsidP="00907F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B895C47" w14:textId="77777777" w:rsidR="00563CBB" w:rsidRPr="00031651" w:rsidRDefault="009566D6" w:rsidP="00907F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7500 EUR</w:t>
            </w:r>
          </w:p>
          <w:p w14:paraId="06C1A4E7" w14:textId="0AA70099" w:rsidR="00907F2F" w:rsidRPr="00031651" w:rsidRDefault="00907F2F" w:rsidP="00907F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(prejudiciu moral)</w:t>
            </w:r>
          </w:p>
        </w:tc>
      </w:tr>
      <w:tr w:rsidR="009E4369" w:rsidRPr="00031651" w14:paraId="10067CBF"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33D0FB71" w14:textId="77777777" w:rsidR="009E4369" w:rsidRPr="00031651" w:rsidRDefault="00586759"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lastRenderedPageBreak/>
              <w:t>2</w:t>
            </w:r>
          </w:p>
          <w:p w14:paraId="3D6C59A3" w14:textId="77777777" w:rsidR="001B0122" w:rsidRPr="00031651" w:rsidRDefault="001B0122" w:rsidP="00B04FC2">
            <w:pPr>
              <w:jc w:val="center"/>
              <w:rPr>
                <w:rFonts w:ascii="Times New Roman" w:hAnsi="Times New Roman" w:cs="Times New Roman"/>
                <w:b w:val="0"/>
                <w:bCs w:val="0"/>
                <w:sz w:val="24"/>
                <w:szCs w:val="24"/>
                <w:lang w:val="ro-RO"/>
              </w:rPr>
            </w:pPr>
          </w:p>
          <w:p w14:paraId="1C9D5146" w14:textId="77777777" w:rsidR="001B0122" w:rsidRPr="00031651" w:rsidRDefault="001B0122"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t>3</w:t>
            </w:r>
          </w:p>
          <w:p w14:paraId="6F1C09CE" w14:textId="77777777" w:rsidR="001B0122" w:rsidRPr="00031651" w:rsidRDefault="001B0122" w:rsidP="00B04FC2">
            <w:pPr>
              <w:jc w:val="center"/>
              <w:rPr>
                <w:rFonts w:ascii="Times New Roman" w:hAnsi="Times New Roman" w:cs="Times New Roman"/>
                <w:b w:val="0"/>
                <w:bCs w:val="0"/>
                <w:sz w:val="24"/>
                <w:szCs w:val="24"/>
                <w:lang w:val="ro-RO"/>
              </w:rPr>
            </w:pPr>
          </w:p>
          <w:p w14:paraId="45F397B0" w14:textId="30EB21F4" w:rsidR="001B0122" w:rsidRPr="00031651" w:rsidRDefault="001B0122"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14+</w:t>
            </w:r>
            <w:r w:rsidRPr="00031651">
              <w:rPr>
                <w:rFonts w:ascii="Times New Roman" w:hAnsi="Times New Roman" w:cs="Times New Roman"/>
                <w:sz w:val="24"/>
                <w:szCs w:val="24"/>
                <w:lang w:val="ro-RO"/>
              </w:rPr>
              <w:lastRenderedPageBreak/>
              <w:t>2+3</w:t>
            </w:r>
          </w:p>
        </w:tc>
        <w:tc>
          <w:tcPr>
            <w:tcW w:w="1525" w:type="dxa"/>
          </w:tcPr>
          <w:p w14:paraId="359BD407" w14:textId="77777777" w:rsidR="009E4369" w:rsidRPr="00031651" w:rsidRDefault="00CD5D2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Obligații pozitive</w:t>
            </w:r>
          </w:p>
          <w:p w14:paraId="600082AA" w14:textId="77777777" w:rsidR="00D41A5F" w:rsidRPr="00031651" w:rsidRDefault="00D41A5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67A1B7C" w14:textId="77777777" w:rsidR="00CD5D29" w:rsidRPr="00031651" w:rsidRDefault="00D41A5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Investigație ineficientă</w:t>
            </w:r>
          </w:p>
          <w:p w14:paraId="4473666F" w14:textId="77777777" w:rsidR="0037254B" w:rsidRPr="00031651" w:rsidRDefault="0037254B" w:rsidP="003725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2D0F135B" w14:textId="2E10B8B6" w:rsidR="0037254B" w:rsidRPr="00031651" w:rsidRDefault="0037254B" w:rsidP="003725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Discrimi</w:t>
            </w:r>
            <w:r w:rsidR="00B140BA" w:rsidRPr="00031651">
              <w:rPr>
                <w:rFonts w:ascii="Times New Roman" w:hAnsi="Times New Roman" w:cs="Times New Roman"/>
                <w:sz w:val="24"/>
                <w:szCs w:val="24"/>
                <w:lang w:val="ro-RO"/>
              </w:rPr>
              <w:t>nare</w:t>
            </w:r>
          </w:p>
        </w:tc>
        <w:tc>
          <w:tcPr>
            <w:tcW w:w="1633" w:type="dxa"/>
          </w:tcPr>
          <w:p w14:paraId="662D647E" w14:textId="77777777" w:rsidR="009E4369" w:rsidRPr="00031651" w:rsidRDefault="00566A08" w:rsidP="00566A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17106/18</w:t>
            </w:r>
          </w:p>
          <w:p w14:paraId="2BBC730A" w14:textId="77777777" w:rsidR="00566A08" w:rsidRPr="00031651" w:rsidRDefault="00233078" w:rsidP="00566A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19/02/2025</w:t>
            </w:r>
          </w:p>
          <w:p w14:paraId="36664A6C" w14:textId="68ADA9B6" w:rsidR="00233078" w:rsidRPr="00031651" w:rsidRDefault="00233078" w:rsidP="00566A0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Vieru contra Republica Moldova</w:t>
            </w:r>
          </w:p>
        </w:tc>
        <w:tc>
          <w:tcPr>
            <w:tcW w:w="1202" w:type="dxa"/>
          </w:tcPr>
          <w:p w14:paraId="0D41EC33" w14:textId="1D526FED" w:rsidR="009E4369" w:rsidRPr="00031651" w:rsidRDefault="00851D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82,87,90,94</w:t>
            </w:r>
            <w:r w:rsidR="00CE55B5" w:rsidRPr="00031651">
              <w:rPr>
                <w:rFonts w:ascii="Times New Roman" w:hAnsi="Times New Roman" w:cs="Times New Roman"/>
                <w:sz w:val="24"/>
                <w:szCs w:val="24"/>
                <w:lang w:val="ro-RO"/>
              </w:rPr>
              <w:t>,100,105, 113, 114,  11</w:t>
            </w:r>
            <w:r w:rsidR="0054604E" w:rsidRPr="00031651">
              <w:rPr>
                <w:rFonts w:ascii="Times New Roman" w:hAnsi="Times New Roman" w:cs="Times New Roman"/>
                <w:sz w:val="24"/>
                <w:szCs w:val="24"/>
                <w:lang w:val="ro-RO"/>
              </w:rPr>
              <w:t xml:space="preserve">9,120, </w:t>
            </w:r>
            <w:r w:rsidR="0054604E" w:rsidRPr="00031651">
              <w:rPr>
                <w:rFonts w:ascii="Times New Roman" w:hAnsi="Times New Roman" w:cs="Times New Roman"/>
                <w:sz w:val="24"/>
                <w:szCs w:val="24"/>
                <w:lang w:val="ro-RO"/>
              </w:rPr>
              <w:lastRenderedPageBreak/>
              <w:t>134</w:t>
            </w:r>
          </w:p>
        </w:tc>
        <w:tc>
          <w:tcPr>
            <w:tcW w:w="1559" w:type="dxa"/>
          </w:tcPr>
          <w:p w14:paraId="350F27A3" w14:textId="7DC84609" w:rsidR="009E4369" w:rsidRPr="00031651" w:rsidRDefault="008106BD" w:rsidP="008106B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Ordonanțe de   protecție, violență în familie, </w:t>
            </w:r>
            <w:r w:rsidR="00D737C4" w:rsidRPr="00031651">
              <w:rPr>
                <w:rFonts w:ascii="Times New Roman" w:hAnsi="Times New Roman" w:cs="Times New Roman"/>
                <w:sz w:val="24"/>
                <w:szCs w:val="24"/>
                <w:lang w:val="ro-RO"/>
              </w:rPr>
              <w:t xml:space="preserve">determinarea </w:t>
            </w:r>
            <w:r w:rsidR="00D737C4" w:rsidRPr="00031651">
              <w:rPr>
                <w:rFonts w:ascii="Times New Roman" w:hAnsi="Times New Roman" w:cs="Times New Roman"/>
                <w:sz w:val="24"/>
                <w:szCs w:val="24"/>
                <w:lang w:val="ro-RO"/>
              </w:rPr>
              <w:lastRenderedPageBreak/>
              <w:t>la suicid</w:t>
            </w:r>
          </w:p>
        </w:tc>
        <w:tc>
          <w:tcPr>
            <w:tcW w:w="6804" w:type="dxa"/>
          </w:tcPr>
          <w:p w14:paraId="44E6AF55" w14:textId="77777777" w:rsidR="009E4369" w:rsidRPr="00031651" w:rsidRDefault="00327BD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lastRenderedPageBreak/>
              <w:t xml:space="preserve">82. </w:t>
            </w:r>
            <w:r w:rsidRPr="00031651">
              <w:rPr>
                <w:rFonts w:ascii="Times New Roman" w:hAnsi="Times New Roman" w:cs="Times New Roman"/>
                <w:sz w:val="24"/>
                <w:szCs w:val="24"/>
              </w:rPr>
              <w:t>Curtea observă că plângerea reclamantului se referă la absența unui răspuns adecvat din partea autorităților la abuzul continuu față de T. și la faptul că lipsa unui astfel de răspuns adecvat a creat un climat favorabil pentru reapariția violenței care a culminat cu moartea ei.</w:t>
            </w:r>
          </w:p>
          <w:p w14:paraId="1A3B4475" w14:textId="5159D474" w:rsidR="001E7B86" w:rsidRPr="00031651" w:rsidRDefault="003D17AA"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lastRenderedPageBreak/>
              <w:t>87</w:t>
            </w:r>
            <w:r w:rsidRPr="00031651">
              <w:rPr>
                <w:rFonts w:ascii="Times New Roman" w:hAnsi="Times New Roman" w:cs="Times New Roman"/>
                <w:sz w:val="24"/>
                <w:szCs w:val="24"/>
              </w:rPr>
              <w:t>. Curtea constată că autoritățile nu au făcut vreodată o încercare serioasă de a avea o viziune cuprinzătoare asupra cazului lui T. în ansamblu, ceea ce se impune în acest tip de context. Curtea reține că nu a fost inițiată nicio anchetă cu privire la violența psihologică sau agresiunile fizice survenite în noiembrie 2013 și în iunie și noiembrie 2015, sau referitoare la încălcarea ordonanțelor de protecție, altele decât cea din 26 septembrie 2014. În plus, anchetele nu au inclus vreo analiză a diferitelor manifestări ale violenței, cum ar fi presupusele violențe psihologice, urmărirea și hărțuirea raportate de către T. poliției de mai multe ori. Actele de violență domestică nu ar trebui niciodată considerate izolat, ci mai degrabă ca un singur curs de conduită sau o serie de incidente conexe</w:t>
            </w:r>
            <w:r w:rsidR="00D90957" w:rsidRPr="00031651">
              <w:rPr>
                <w:rFonts w:ascii="Times New Roman" w:hAnsi="Times New Roman" w:cs="Times New Roman"/>
                <w:sz w:val="24"/>
                <w:szCs w:val="24"/>
              </w:rPr>
              <w:t>.</w:t>
            </w:r>
          </w:p>
          <w:p w14:paraId="42D9D7BD" w14:textId="77777777" w:rsidR="00822DDD" w:rsidRPr="00031651" w:rsidRDefault="0015109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90</w:t>
            </w:r>
            <w:r w:rsidRPr="00031651">
              <w:rPr>
                <w:rFonts w:ascii="Times New Roman" w:hAnsi="Times New Roman" w:cs="Times New Roman"/>
                <w:sz w:val="24"/>
                <w:szCs w:val="24"/>
              </w:rPr>
              <w:t>. Ancheta cu privire la circumstanțele decesului lui T. a fost la fel de deficitară. Curtea notează că faptul căderii lui T. de la etajul cinci și moartea ei ca urmare a rănilor suferite au avut loc în contextul a cel puțin doi ani de violență domestică recurentă și investigații ineficiente. O anchetă împotriva lui I.C. pentru acuzația de determinare la sinucidere a fost inițiată cu promptitudine, dar a fost încetată aproape doi ani mai târziu, ajungând la concluzia că moartea ei ar fi putut fi un accident.</w:t>
            </w:r>
          </w:p>
          <w:p w14:paraId="0AE1FBE3" w14:textId="77777777" w:rsidR="00744358" w:rsidRPr="00031651" w:rsidRDefault="006652C3"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94</w:t>
            </w:r>
            <w:r w:rsidRPr="00031651">
              <w:rPr>
                <w:rFonts w:ascii="Times New Roman" w:hAnsi="Times New Roman" w:cs="Times New Roman"/>
                <w:sz w:val="24"/>
                <w:szCs w:val="24"/>
              </w:rPr>
              <w:t>. În acest context, Curtea reiterează că, în cazurile care implică un deces sau o vătămare gravă a integrității fizice în circumstanțe care ar putea angaja răspunderea Statului, autoritățile trebuie să acționeze din oficiu odată ce problema le-a fost adusă la cunoștință. Ele nu pot lăsa în seama rudelor apropiate inițiativa de a depune o plângere oficială sau de a-și asuma responsabilitatea pentru desfășurarea oricăror proceduri de investigare</w:t>
            </w:r>
            <w:r w:rsidR="00254AAC" w:rsidRPr="00031651">
              <w:rPr>
                <w:rFonts w:ascii="Times New Roman" w:hAnsi="Times New Roman" w:cs="Times New Roman"/>
                <w:sz w:val="24"/>
                <w:szCs w:val="24"/>
              </w:rPr>
              <w:t>.</w:t>
            </w:r>
            <w:r w:rsidR="00254AAC" w:rsidRPr="00031651">
              <w:rPr>
                <w:rFonts w:ascii="Times New Roman" w:hAnsi="Times New Roman" w:cs="Times New Roman"/>
              </w:rPr>
              <w:t xml:space="preserve"> </w:t>
            </w:r>
            <w:r w:rsidR="00254AAC" w:rsidRPr="00031651">
              <w:rPr>
                <w:rFonts w:ascii="Times New Roman" w:hAnsi="Times New Roman" w:cs="Times New Roman"/>
                <w:sz w:val="24"/>
                <w:szCs w:val="24"/>
              </w:rPr>
              <w:t>Mai mult, autoritățile trebuie să depună toate eforturile rezonabile, având în vedere realitățile practice ale activității de investigare. Obligația de a colecta probe ar trebui să se aplice cel puțin până în momentul în care natura oricărei răspunderi este clarificată și autoritățile sunt convinse că nu există motive pentru a desfășura sau continua urmărirea penală</w:t>
            </w:r>
            <w:r w:rsidR="00FD48F5" w:rsidRPr="00031651">
              <w:rPr>
                <w:rFonts w:ascii="Times New Roman" w:hAnsi="Times New Roman" w:cs="Times New Roman"/>
                <w:sz w:val="24"/>
                <w:szCs w:val="24"/>
              </w:rPr>
              <w:t xml:space="preserve">. </w:t>
            </w:r>
          </w:p>
          <w:p w14:paraId="11B7DD1D" w14:textId="6BC2E257" w:rsidR="003A20A9" w:rsidRPr="00031651" w:rsidRDefault="00AA50ED"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100</w:t>
            </w:r>
            <w:r w:rsidRPr="00031651">
              <w:rPr>
                <w:rFonts w:ascii="Times New Roman" w:hAnsi="Times New Roman" w:cs="Times New Roman"/>
                <w:sz w:val="24"/>
                <w:szCs w:val="24"/>
              </w:rPr>
              <w:t xml:space="preserve">. Curtea constată că plângerea reclamantului bazată pe </w:t>
            </w:r>
            <w:r w:rsidR="003E457F" w:rsidRPr="00031651">
              <w:rPr>
                <w:rFonts w:ascii="Times New Roman" w:hAnsi="Times New Roman" w:cs="Times New Roman"/>
                <w:sz w:val="24"/>
                <w:szCs w:val="24"/>
              </w:rPr>
              <w:lastRenderedPageBreak/>
              <w:t>discriminare</w:t>
            </w:r>
            <w:r w:rsidRPr="00031651">
              <w:rPr>
                <w:rFonts w:ascii="Times New Roman" w:hAnsi="Times New Roman" w:cs="Times New Roman"/>
                <w:sz w:val="24"/>
                <w:szCs w:val="24"/>
              </w:rPr>
              <w:t xml:space="preserve"> are un caracter dublu. Pe de o parte, el a reclamat deficiența cadrului legal care reglementează intervenția Statului în cazurile privind plângerile de violență în familie. Pe de altă parte, el a susținut că, în practică, autoritățile nu reușiseră să investigheze în mod eficient plângerile specifice ale surorii sale și să prevină reapariția violenței împotriva ei. Curtea va examina mai jos separat cele două plângeri.</w:t>
            </w:r>
          </w:p>
          <w:p w14:paraId="1F525547" w14:textId="77777777" w:rsidR="00D827FF" w:rsidRPr="00031651" w:rsidRDefault="00D827F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105</w:t>
            </w:r>
            <w:r w:rsidRPr="00031651">
              <w:rPr>
                <w:rFonts w:ascii="Times New Roman" w:hAnsi="Times New Roman" w:cs="Times New Roman"/>
                <w:sz w:val="24"/>
                <w:szCs w:val="24"/>
              </w:rPr>
              <w:t xml:space="preserve">. Curtea constată că </w:t>
            </w:r>
            <w:r w:rsidR="0081159B" w:rsidRPr="00031651">
              <w:rPr>
                <w:rFonts w:ascii="Times New Roman" w:hAnsi="Times New Roman" w:cs="Times New Roman"/>
                <w:sz w:val="24"/>
                <w:szCs w:val="24"/>
              </w:rPr>
              <w:t>prezenta cauză demonstrează exact modul în care acest sistem nu a reușit să abordeze un tipar de violență caracterizat prin violență fizică de lungă durată, dar de intensitate scăzută și violență psihologică neînregistrată, care a continuat chiar și după ce făptuitorul și victima divorțaseră și nu mai aveau reședința în comun, în pofida ordonanțelor de protecție repetate.</w:t>
            </w:r>
          </w:p>
          <w:p w14:paraId="16C7B0B5" w14:textId="77777777" w:rsidR="0081159B" w:rsidRPr="00031651" w:rsidRDefault="00E3668E"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113</w:t>
            </w:r>
            <w:r w:rsidRPr="00031651">
              <w:rPr>
                <w:rFonts w:ascii="Times New Roman" w:hAnsi="Times New Roman" w:cs="Times New Roman"/>
                <w:sz w:val="24"/>
                <w:szCs w:val="24"/>
              </w:rPr>
              <w:t>. În opinia Curții, neacționând rapid, diligent și consecvent în toate cazurile de violență domestică, autoritățile naționale au contribuit la crearea unei situații de impunitate care să conducă la reapariția actelor de violență din partea lui I.C. împotriva lui T.</w:t>
            </w:r>
          </w:p>
          <w:p w14:paraId="4E19F851" w14:textId="2F80F1D9" w:rsidR="004E5BE2" w:rsidRPr="00031651" w:rsidRDefault="004E5BE2"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114</w:t>
            </w:r>
            <w:r w:rsidRPr="00031651">
              <w:rPr>
                <w:rFonts w:ascii="Times New Roman" w:hAnsi="Times New Roman" w:cs="Times New Roman"/>
                <w:sz w:val="24"/>
                <w:szCs w:val="24"/>
              </w:rPr>
              <w:t>. Referitor la calitatea evaluării riscurilor, Curtea reține că autoritățile naționale aveau datoria de a o proteja pe sora reclamantului, ca victimă a violenței domestice, de o amenințare reală și imediată cu alte violențe.</w:t>
            </w:r>
            <w:r w:rsidR="00F71EFC" w:rsidRPr="00031651">
              <w:rPr>
                <w:rFonts w:ascii="Times New Roman" w:hAnsi="Times New Roman" w:cs="Times New Roman"/>
                <w:sz w:val="24"/>
                <w:szCs w:val="24"/>
              </w:rPr>
              <w:t xml:space="preserve"> Ele</w:t>
            </w:r>
            <w:r w:rsidR="00390657" w:rsidRPr="00031651">
              <w:rPr>
                <w:rFonts w:ascii="Times New Roman" w:hAnsi="Times New Roman" w:cs="Times New Roman"/>
                <w:sz w:val="24"/>
                <w:szCs w:val="24"/>
              </w:rPr>
              <w:t xml:space="preserve"> </w:t>
            </w:r>
            <w:r w:rsidR="00F71EFC" w:rsidRPr="00031651">
              <w:rPr>
                <w:rFonts w:ascii="Times New Roman" w:hAnsi="Times New Roman" w:cs="Times New Roman"/>
                <w:sz w:val="24"/>
                <w:szCs w:val="24"/>
              </w:rPr>
              <w:t>trebuiau să efectueze o evaluare a riscurilor la intervale regulate, ca parte integrantă a obligațiilor care le revin în baza Convenției, ținând seama în mod corespunzător de contextul particular al violenței domestice și de caracterul recurent al acesteia. Curtea a subliniat în mod repetat că dinamica violenței domestice trebuie să fie luată în considerare în mod corespunzător de către autorități atunci când evaluează riscul unei noi escaladări a violenței, chiar și după emiterea unei ordonanțe de protecție. În dosarul cauzei nu există nimic care să sugereze că, în oricare dintre cele cincisprezece episoade de presupusă violență domestică menționate mai sus, poliția a încercat să analizeze comportamentul lui I.C. prin prisma a ceea ce ar putea prevesti cursul său viitor de acțiune.</w:t>
            </w:r>
          </w:p>
          <w:p w14:paraId="7126F247" w14:textId="77777777" w:rsidR="00F71EFC" w:rsidRPr="00031651" w:rsidRDefault="002D023E"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119</w:t>
            </w:r>
            <w:r w:rsidRPr="00031651">
              <w:rPr>
                <w:rFonts w:ascii="Times New Roman" w:hAnsi="Times New Roman" w:cs="Times New Roman"/>
                <w:sz w:val="24"/>
                <w:szCs w:val="24"/>
              </w:rPr>
              <w:t xml:space="preserve">. Curtea nu poate decât să observe că răspunsul deficitar al </w:t>
            </w:r>
            <w:r w:rsidRPr="00031651">
              <w:rPr>
                <w:rFonts w:ascii="Times New Roman" w:hAnsi="Times New Roman" w:cs="Times New Roman"/>
                <w:sz w:val="24"/>
                <w:szCs w:val="24"/>
              </w:rPr>
              <w:lastRenderedPageBreak/>
              <w:t>autorităților de aplicare a legii în prezenta cauză pare a fi deosebit de alarmant atunci când este evaluat în contextul intern relevant al eșecului documentat și repetat al autorităților moldovenești de a preveni și stopa violența împotriva femeilor, inclusiv violența în familie ca formă de violență bazată pe gen</w:t>
            </w:r>
          </w:p>
          <w:p w14:paraId="2FCF8937" w14:textId="77777777" w:rsidR="002A7FC5" w:rsidRPr="00031651" w:rsidRDefault="002A7FC5"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120</w:t>
            </w:r>
            <w:r w:rsidRPr="00031651">
              <w:rPr>
                <w:rFonts w:ascii="Times New Roman" w:hAnsi="Times New Roman" w:cs="Times New Roman"/>
                <w:sz w:val="24"/>
                <w:szCs w:val="24"/>
              </w:rPr>
              <w:t>. Având în vedere considerentele de mai sus, Curtea concluzionează că autoritățile de investigație nu au acționat rapid, diligent și consecvent în toate cazurile de violență în familie. În special, ele nu au reușit să evalueze natura reală și imediată a riscului de reapariție a violenței, ținând seama în mod corespunzător de contextul specific al violenței domestice, și nu au luat măsuri preventive și de protecție pentru a evita acest risc.</w:t>
            </w:r>
          </w:p>
          <w:p w14:paraId="21705A27" w14:textId="20C2C5ED" w:rsidR="00A37C50" w:rsidRPr="00031651" w:rsidRDefault="00C826A5"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134</w:t>
            </w:r>
            <w:r w:rsidRPr="00031651">
              <w:rPr>
                <w:rFonts w:ascii="Times New Roman" w:hAnsi="Times New Roman" w:cs="Times New Roman"/>
                <w:sz w:val="24"/>
                <w:szCs w:val="24"/>
              </w:rPr>
              <w:t>. Elementele de mai sus, luate împreună, îi sunt suficiente Curții pentru a constata că autoritățile nu au respins cazul prima facie al reclamantului privind pasivitatea instituțională generală și/sau lipsa de conștientizare a fenomenului violenței domestice și al violenței de gen în Moldova. Într-un astfel de caz, nu este necesar ca reclamantul să demonstreze că a fost individual ținta unui prejudiciu din partea autorităților</w:t>
            </w:r>
            <w:r w:rsidR="002B7651" w:rsidRPr="00031651">
              <w:rPr>
                <w:rFonts w:ascii="Times New Roman" w:hAnsi="Times New Roman" w:cs="Times New Roman"/>
                <w:sz w:val="24"/>
                <w:szCs w:val="24"/>
              </w:rPr>
              <w:t>.</w:t>
            </w:r>
          </w:p>
        </w:tc>
        <w:tc>
          <w:tcPr>
            <w:tcW w:w="2693" w:type="dxa"/>
          </w:tcPr>
          <w:p w14:paraId="6F4EEDC5" w14:textId="2840E1B8" w:rsidR="009E4369" w:rsidRPr="00031651" w:rsidRDefault="00851D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Violare</w:t>
            </w:r>
            <w:r w:rsidR="00306E27" w:rsidRPr="00031651">
              <w:rPr>
                <w:rFonts w:ascii="Times New Roman" w:hAnsi="Times New Roman" w:cs="Times New Roman"/>
                <w:sz w:val="24"/>
                <w:szCs w:val="24"/>
                <w:lang w:val="ro-RO"/>
              </w:rPr>
              <w:t xml:space="preserve"> art.2</w:t>
            </w:r>
          </w:p>
          <w:p w14:paraId="5D617051" w14:textId="77777777" w:rsidR="00306E27" w:rsidRPr="00031651" w:rsidRDefault="00306E2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(aspect </w:t>
            </w:r>
            <w:r w:rsidR="00826233" w:rsidRPr="00031651">
              <w:rPr>
                <w:rFonts w:ascii="Times New Roman" w:hAnsi="Times New Roman" w:cs="Times New Roman"/>
                <w:sz w:val="24"/>
                <w:szCs w:val="24"/>
                <w:lang w:val="ro-RO"/>
              </w:rPr>
              <w:t>procedural și material</w:t>
            </w:r>
            <w:r w:rsidRPr="00031651">
              <w:rPr>
                <w:rFonts w:ascii="Times New Roman" w:hAnsi="Times New Roman" w:cs="Times New Roman"/>
                <w:sz w:val="24"/>
                <w:szCs w:val="24"/>
                <w:lang w:val="ro-RO"/>
              </w:rPr>
              <w:t>)</w:t>
            </w:r>
          </w:p>
          <w:p w14:paraId="54FAFDA3" w14:textId="77777777" w:rsidR="00851DBF" w:rsidRPr="00031651" w:rsidRDefault="00851D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E7D2353" w14:textId="77777777" w:rsidR="00167049" w:rsidRPr="00031651" w:rsidRDefault="0016704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92AB812" w14:textId="3CD690C8" w:rsidR="00826233" w:rsidRPr="00031651" w:rsidRDefault="0082623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 Violare art.3 </w:t>
            </w:r>
          </w:p>
          <w:p w14:paraId="2634750E" w14:textId="77777777" w:rsidR="00851DBF" w:rsidRPr="00031651" w:rsidRDefault="00851DBF" w:rsidP="00851DB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(aspect procedural și material)</w:t>
            </w:r>
          </w:p>
          <w:p w14:paraId="26D401E8" w14:textId="77777777" w:rsidR="00826233" w:rsidRPr="00031651" w:rsidRDefault="0082623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AF3B889" w14:textId="77777777" w:rsidR="00826233" w:rsidRPr="00031651" w:rsidRDefault="0082623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Violare </w:t>
            </w:r>
            <w:r w:rsidR="008403C4" w:rsidRPr="00031651">
              <w:rPr>
                <w:rFonts w:ascii="Times New Roman" w:hAnsi="Times New Roman" w:cs="Times New Roman"/>
                <w:sz w:val="24"/>
                <w:szCs w:val="24"/>
                <w:lang w:val="ro-RO"/>
              </w:rPr>
              <w:t xml:space="preserve">art.14 coroborat cu art.2 și 3 </w:t>
            </w:r>
          </w:p>
          <w:p w14:paraId="0C425750" w14:textId="77777777" w:rsidR="008403C4" w:rsidRPr="00031651" w:rsidRDefault="008403C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4713B8FC" w14:textId="77777777" w:rsidR="00851DBF" w:rsidRPr="00031651" w:rsidRDefault="008403C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20 000 EUR</w:t>
            </w:r>
          </w:p>
          <w:p w14:paraId="6E3F5E03" w14:textId="2751CBFE" w:rsidR="008403C4" w:rsidRPr="00031651" w:rsidRDefault="00851D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(prejudiciu moral)</w:t>
            </w:r>
            <w:r w:rsidR="008403C4" w:rsidRPr="00031651">
              <w:rPr>
                <w:rFonts w:ascii="Times New Roman" w:hAnsi="Times New Roman" w:cs="Times New Roman"/>
                <w:sz w:val="24"/>
                <w:szCs w:val="24"/>
                <w:lang w:val="ro-RO"/>
              </w:rPr>
              <w:t xml:space="preserve"> </w:t>
            </w:r>
          </w:p>
        </w:tc>
      </w:tr>
      <w:tr w:rsidR="00B33672" w:rsidRPr="00031651" w14:paraId="31616901" w14:textId="77777777" w:rsidTr="0053482A">
        <w:trPr>
          <w:trHeight w:val="463"/>
        </w:trPr>
        <w:tc>
          <w:tcPr>
            <w:cnfStyle w:val="001000000000" w:firstRow="0" w:lastRow="0" w:firstColumn="1" w:lastColumn="0" w:oddVBand="0" w:evenVBand="0" w:oddHBand="0" w:evenHBand="0" w:firstRowFirstColumn="0" w:firstRowLastColumn="0" w:lastRowFirstColumn="0" w:lastRowLastColumn="0"/>
            <w:tcW w:w="16052" w:type="dxa"/>
            <w:gridSpan w:val="7"/>
            <w:vAlign w:val="center"/>
          </w:tcPr>
          <w:p w14:paraId="0890AD9F" w14:textId="4A7E43A5" w:rsidR="00D818B6" w:rsidRPr="00031651" w:rsidRDefault="00D818B6" w:rsidP="00025B24">
            <w:pP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lastRenderedPageBreak/>
              <w:t>Hotărâri de Mare Cameră</w:t>
            </w:r>
          </w:p>
        </w:tc>
      </w:tr>
      <w:tr w:rsidR="009E4369" w:rsidRPr="00031651" w14:paraId="493568C0"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2C67480F" w14:textId="77777777" w:rsidR="009E4369" w:rsidRDefault="00402215" w:rsidP="00B04FC2">
            <w:pPr>
              <w:jc w:val="center"/>
              <w:rPr>
                <w:rFonts w:ascii="Times New Roman" w:hAnsi="Times New Roman" w:cs="Times New Roman"/>
                <w:b w:val="0"/>
                <w:bCs w:val="0"/>
                <w:sz w:val="24"/>
                <w:szCs w:val="24"/>
                <w:lang w:val="ro-RO"/>
              </w:rPr>
            </w:pPr>
            <w:r>
              <w:rPr>
                <w:rFonts w:ascii="Times New Roman" w:hAnsi="Times New Roman" w:cs="Times New Roman"/>
                <w:sz w:val="24"/>
                <w:szCs w:val="24"/>
                <w:lang w:val="ro-RO"/>
              </w:rPr>
              <w:t>7</w:t>
            </w:r>
          </w:p>
          <w:p w14:paraId="13B3F80A" w14:textId="77777777" w:rsidR="00402215" w:rsidRDefault="00402215" w:rsidP="00B04FC2">
            <w:pPr>
              <w:jc w:val="center"/>
              <w:rPr>
                <w:rFonts w:ascii="Times New Roman" w:hAnsi="Times New Roman" w:cs="Times New Roman"/>
                <w:b w:val="0"/>
                <w:bCs w:val="0"/>
                <w:sz w:val="24"/>
                <w:szCs w:val="24"/>
                <w:lang w:val="ro-RO"/>
              </w:rPr>
            </w:pPr>
          </w:p>
          <w:p w14:paraId="7F63083D" w14:textId="2959132F" w:rsidR="00402215" w:rsidRDefault="00402215" w:rsidP="00B04FC2">
            <w:pPr>
              <w:jc w:val="center"/>
              <w:rPr>
                <w:rFonts w:ascii="Times New Roman" w:hAnsi="Times New Roman" w:cs="Times New Roman"/>
                <w:b w:val="0"/>
                <w:bCs w:val="0"/>
                <w:sz w:val="24"/>
                <w:szCs w:val="24"/>
                <w:lang w:val="ro-RO"/>
              </w:rPr>
            </w:pPr>
            <w:r>
              <w:rPr>
                <w:rFonts w:ascii="Times New Roman" w:hAnsi="Times New Roman" w:cs="Times New Roman"/>
                <w:sz w:val="24"/>
                <w:szCs w:val="24"/>
                <w:lang w:val="ro-RO"/>
              </w:rPr>
              <w:t>6</w:t>
            </w:r>
            <w:r w:rsidR="00431F6C">
              <w:rPr>
                <w:rFonts w:ascii="Times New Roman" w:hAnsi="Times New Roman" w:cs="Times New Roman"/>
                <w:sz w:val="24"/>
                <w:szCs w:val="24"/>
                <w:lang w:val="ro-RO"/>
              </w:rPr>
              <w:t xml:space="preserve"> </w:t>
            </w:r>
            <w:r w:rsidR="00431F6C" w:rsidRPr="00031651">
              <w:rPr>
                <w:rFonts w:ascii="Times New Roman" w:hAnsi="Times New Roman" w:cs="Times New Roman"/>
                <w:sz w:val="24"/>
                <w:szCs w:val="24"/>
              </w:rPr>
              <w:t>§</w:t>
            </w:r>
            <w:r w:rsidR="00431F6C">
              <w:rPr>
                <w:rFonts w:ascii="Times New Roman" w:hAnsi="Times New Roman" w:cs="Times New Roman"/>
                <w:sz w:val="24"/>
                <w:szCs w:val="24"/>
              </w:rPr>
              <w:t xml:space="preserve"> 2 </w:t>
            </w:r>
          </w:p>
          <w:p w14:paraId="524CFE61" w14:textId="77777777" w:rsidR="00D7291E" w:rsidRDefault="00D7291E" w:rsidP="00B04FC2">
            <w:pPr>
              <w:jc w:val="center"/>
              <w:rPr>
                <w:rFonts w:ascii="Times New Roman" w:hAnsi="Times New Roman" w:cs="Times New Roman"/>
                <w:b w:val="0"/>
                <w:bCs w:val="0"/>
                <w:sz w:val="24"/>
                <w:szCs w:val="24"/>
                <w:lang w:val="ro-RO"/>
              </w:rPr>
            </w:pPr>
          </w:p>
          <w:p w14:paraId="38DE1989" w14:textId="2FD52786" w:rsidR="00D7291E" w:rsidRPr="00031651" w:rsidRDefault="0040420C" w:rsidP="00B04FC2">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1 Prt.1 </w:t>
            </w:r>
          </w:p>
        </w:tc>
        <w:tc>
          <w:tcPr>
            <w:tcW w:w="1525" w:type="dxa"/>
          </w:tcPr>
          <w:p w14:paraId="3E2F2D56" w14:textId="77777777" w:rsidR="009E4369" w:rsidRDefault="00417C1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Protecția proprietății</w:t>
            </w:r>
          </w:p>
          <w:p w14:paraId="3B867C01" w14:textId="45229ABA" w:rsidR="00417C18" w:rsidRPr="00031651" w:rsidRDefault="00417C1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633" w:type="dxa"/>
          </w:tcPr>
          <w:p w14:paraId="5DBCCE02" w14:textId="21059249" w:rsidR="00222B85" w:rsidRDefault="001D0391" w:rsidP="00ED7B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1828</w:t>
            </w:r>
            <w:r w:rsidR="00ED7BFD">
              <w:rPr>
                <w:rFonts w:ascii="Times New Roman" w:hAnsi="Times New Roman" w:cs="Times New Roman"/>
                <w:sz w:val="24"/>
                <w:szCs w:val="24"/>
                <w:lang w:val="ro-RO"/>
              </w:rPr>
              <w:t>/06</w:t>
            </w:r>
          </w:p>
          <w:p w14:paraId="71D66B3F" w14:textId="0A1D22A0" w:rsidR="00ED7BFD" w:rsidRPr="00031651" w:rsidRDefault="00ED7BFD" w:rsidP="00ED7B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28/06/2018</w:t>
            </w:r>
          </w:p>
          <w:p w14:paraId="4AAC76F3" w14:textId="4459C8B7" w:rsidR="002B7651" w:rsidRPr="00031651" w:rsidRDefault="002B7651" w:rsidP="00ED7B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GIEM SRL </w:t>
            </w:r>
            <w:r w:rsidR="0028075B" w:rsidRPr="00031651">
              <w:rPr>
                <w:rFonts w:ascii="Times New Roman" w:hAnsi="Times New Roman" w:cs="Times New Roman"/>
                <w:sz w:val="24"/>
                <w:szCs w:val="24"/>
                <w:lang w:val="ro-RO"/>
              </w:rPr>
              <w:t>contra</w:t>
            </w:r>
            <w:r w:rsidRPr="00031651">
              <w:rPr>
                <w:rFonts w:ascii="Times New Roman" w:hAnsi="Times New Roman" w:cs="Times New Roman"/>
                <w:sz w:val="24"/>
                <w:szCs w:val="24"/>
                <w:lang w:val="ro-RO"/>
              </w:rPr>
              <w:t xml:space="preserve"> Italia</w:t>
            </w:r>
          </w:p>
          <w:p w14:paraId="31500709" w14:textId="77777777" w:rsidR="009E4369" w:rsidRPr="00031651" w:rsidRDefault="009E4369" w:rsidP="002B7651">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662AA17C" w14:textId="62E12680" w:rsidR="009E4369" w:rsidRPr="00031651" w:rsidRDefault="005601D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233, 246, </w:t>
            </w:r>
            <w:r w:rsidR="00431F6C">
              <w:rPr>
                <w:rFonts w:ascii="Times New Roman" w:hAnsi="Times New Roman" w:cs="Times New Roman"/>
                <w:sz w:val="24"/>
                <w:szCs w:val="24"/>
                <w:lang w:val="ro-RO"/>
              </w:rPr>
              <w:t>251, 260, 274, 294, 295, 302</w:t>
            </w:r>
          </w:p>
        </w:tc>
        <w:tc>
          <w:tcPr>
            <w:tcW w:w="1559" w:type="dxa"/>
          </w:tcPr>
          <w:p w14:paraId="0C81FB40" w14:textId="13366712" w:rsidR="009E4369" w:rsidRPr="00031651" w:rsidRDefault="0040420C"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Plan de lotizare, </w:t>
            </w:r>
            <w:r w:rsidR="00377EB5">
              <w:rPr>
                <w:rFonts w:ascii="Times New Roman" w:hAnsi="Times New Roman" w:cs="Times New Roman"/>
                <w:sz w:val="24"/>
                <w:szCs w:val="24"/>
                <w:lang w:val="ro-RO"/>
              </w:rPr>
              <w:t>autorizare de construire</w:t>
            </w:r>
            <w:r w:rsidR="00ED77DA">
              <w:rPr>
                <w:rFonts w:ascii="Times New Roman" w:hAnsi="Times New Roman" w:cs="Times New Roman"/>
                <w:sz w:val="24"/>
                <w:szCs w:val="24"/>
                <w:lang w:val="ro-RO"/>
              </w:rPr>
              <w:t xml:space="preserve">, restituirea terenului, </w:t>
            </w:r>
            <w:r w:rsidR="00403A0A">
              <w:rPr>
                <w:rFonts w:ascii="Times New Roman" w:hAnsi="Times New Roman" w:cs="Times New Roman"/>
                <w:sz w:val="24"/>
                <w:szCs w:val="24"/>
                <w:lang w:val="ro-RO"/>
              </w:rPr>
              <w:t>procedură penală</w:t>
            </w:r>
            <w:r w:rsidR="00140CE4">
              <w:rPr>
                <w:rFonts w:ascii="Times New Roman" w:hAnsi="Times New Roman" w:cs="Times New Roman"/>
                <w:sz w:val="24"/>
                <w:szCs w:val="24"/>
                <w:lang w:val="ro-RO"/>
              </w:rPr>
              <w:t>, confi</w:t>
            </w:r>
            <w:r w:rsidR="00962341">
              <w:rPr>
                <w:rFonts w:ascii="Times New Roman" w:hAnsi="Times New Roman" w:cs="Times New Roman"/>
                <w:sz w:val="24"/>
                <w:szCs w:val="24"/>
                <w:lang w:val="ro-RO"/>
              </w:rPr>
              <w:t>scare</w:t>
            </w:r>
          </w:p>
        </w:tc>
        <w:tc>
          <w:tcPr>
            <w:tcW w:w="6804" w:type="dxa"/>
          </w:tcPr>
          <w:p w14:paraId="104F88F3" w14:textId="77777777" w:rsidR="009E4369" w:rsidRDefault="0096234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62341">
              <w:rPr>
                <w:rFonts w:ascii="Times New Roman" w:hAnsi="Times New Roman" w:cs="Times New Roman"/>
                <w:b/>
                <w:bCs/>
                <w:sz w:val="24"/>
                <w:szCs w:val="24"/>
              </w:rPr>
              <w:t xml:space="preserve">233. </w:t>
            </w:r>
            <w:r w:rsidRPr="00962341">
              <w:rPr>
                <w:rFonts w:ascii="Times New Roman" w:hAnsi="Times New Roman" w:cs="Times New Roman"/>
                <w:sz w:val="24"/>
                <w:szCs w:val="24"/>
              </w:rPr>
              <w:t>Curtea concluzionează că măsurile de confiscare constituie „pedepse” în sensul art. 7 din Convenție. Această constatare, care este rezultatul unei interpretări autonome a noțiunii</w:t>
            </w:r>
            <w:r w:rsidR="00924866">
              <w:rPr>
                <w:rFonts w:ascii="Times New Roman" w:hAnsi="Times New Roman" w:cs="Times New Roman"/>
                <w:sz w:val="24"/>
                <w:szCs w:val="24"/>
              </w:rPr>
              <w:t xml:space="preserve"> </w:t>
            </w:r>
            <w:r w:rsidR="00924866" w:rsidRPr="00924866">
              <w:rPr>
                <w:rFonts w:ascii="Times New Roman" w:hAnsi="Times New Roman" w:cs="Times New Roman"/>
                <w:sz w:val="24"/>
                <w:szCs w:val="24"/>
              </w:rPr>
              <w:t xml:space="preserve">de „pedeapsă”, în sensul art. 7, determină aplicabilitatea acestei dispoziții, chiar și în absența unei proceduri penale în sensul art. 6. </w:t>
            </w:r>
          </w:p>
          <w:p w14:paraId="7DED658F" w14:textId="77777777" w:rsidR="007F1E7F" w:rsidRDefault="007F1E7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F1E7F">
              <w:rPr>
                <w:rFonts w:ascii="Times New Roman" w:hAnsi="Times New Roman" w:cs="Times New Roman"/>
                <w:b/>
                <w:bCs/>
                <w:sz w:val="24"/>
                <w:szCs w:val="24"/>
              </w:rPr>
              <w:t>246</w:t>
            </w:r>
            <w:r>
              <w:rPr>
                <w:rFonts w:ascii="Times New Roman" w:hAnsi="Times New Roman" w:cs="Times New Roman"/>
                <w:sz w:val="24"/>
                <w:szCs w:val="24"/>
              </w:rPr>
              <w:t xml:space="preserve">. </w:t>
            </w:r>
            <w:r w:rsidRPr="007F1E7F">
              <w:rPr>
                <w:rFonts w:ascii="Times New Roman" w:hAnsi="Times New Roman" w:cs="Times New Roman"/>
                <w:sz w:val="24"/>
                <w:szCs w:val="24"/>
              </w:rPr>
              <w:t>Curtea consideră că, în prezentele cauze, art. 7 impunea ca măsurile de confiscare în litigiu să fie previzibile pentru reclamanți și ca acestea să nu fie impuse în lipsa unei legături intelectuale, care să indice existența unui element de răspundere în comportamentul lor.</w:t>
            </w:r>
          </w:p>
          <w:p w14:paraId="5833E7F1" w14:textId="77777777" w:rsidR="007F1E7F" w:rsidRDefault="009D379C"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D379C">
              <w:rPr>
                <w:rFonts w:ascii="Times New Roman" w:hAnsi="Times New Roman" w:cs="Times New Roman"/>
                <w:b/>
                <w:bCs/>
                <w:sz w:val="24"/>
                <w:szCs w:val="24"/>
              </w:rPr>
              <w:t xml:space="preserve">251. </w:t>
            </w:r>
            <w:r w:rsidRPr="009D379C">
              <w:rPr>
                <w:rFonts w:ascii="Times New Roman" w:hAnsi="Times New Roman" w:cs="Times New Roman"/>
                <w:sz w:val="24"/>
                <w:szCs w:val="24"/>
              </w:rPr>
              <w:t xml:space="preserve">Rezultă că art. 7 se opune posibilității de a impune unei persoane o sancțiune de natură penală, fără să fie stabilită și declarată în prealabil răspunderea penală personală a acesteia. În caz contrar, ar fi, de asemenea, încălcată prezumția de nevinovăție </w:t>
            </w:r>
            <w:r w:rsidRPr="009D379C">
              <w:rPr>
                <w:rFonts w:ascii="Times New Roman" w:hAnsi="Times New Roman" w:cs="Times New Roman"/>
                <w:sz w:val="24"/>
                <w:szCs w:val="24"/>
              </w:rPr>
              <w:lastRenderedPageBreak/>
              <w:t>garantată la art. 6 § 2 din Convenție</w:t>
            </w:r>
            <w:r>
              <w:rPr>
                <w:rFonts w:ascii="Times New Roman" w:hAnsi="Times New Roman" w:cs="Times New Roman"/>
                <w:sz w:val="24"/>
                <w:szCs w:val="24"/>
              </w:rPr>
              <w:t xml:space="preserve">. </w:t>
            </w:r>
          </w:p>
          <w:p w14:paraId="5904411A" w14:textId="77777777" w:rsidR="009D379C" w:rsidRDefault="00640CA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40CA1">
              <w:rPr>
                <w:rFonts w:ascii="Times New Roman" w:hAnsi="Times New Roman" w:cs="Times New Roman"/>
                <w:b/>
                <w:bCs/>
                <w:sz w:val="24"/>
                <w:szCs w:val="24"/>
              </w:rPr>
              <w:t xml:space="preserve">260. </w:t>
            </w:r>
            <w:r w:rsidRPr="00640CA1">
              <w:rPr>
                <w:rFonts w:ascii="Times New Roman" w:hAnsi="Times New Roman" w:cs="Times New Roman"/>
                <w:sz w:val="24"/>
                <w:szCs w:val="24"/>
              </w:rPr>
              <w:t xml:space="preserve">În opinia Curții, trebuie să se țină seama, pe de o parte, de importanța pe care o are, într-o societate democratică, asigurarea statului de drept și încrederea justițiabililor în funcționarea justiției, și, pe de altă parte, de obiectul și scopul regimului aplicat de instanțele italiene. În această privință, se pare că acest regim are ca scop combaterea impunității, ceea ce rezultă dintr-o situație în care, prin efectul combinat al infracțiunilor complexe și al termenelor de prescripție relativ scurte, autorii unor astfel de infracțiuni se sustrag în mod sistematic de la urmărirea penală și, în special, </w:t>
            </w:r>
            <w:r w:rsidR="00625E25">
              <w:rPr>
                <w:rFonts w:ascii="Times New Roman" w:hAnsi="Times New Roman" w:cs="Times New Roman"/>
                <w:sz w:val="24"/>
                <w:szCs w:val="24"/>
              </w:rPr>
              <w:t>.</w:t>
            </w:r>
            <w:r w:rsidRPr="00640CA1">
              <w:rPr>
                <w:rFonts w:ascii="Times New Roman" w:hAnsi="Times New Roman" w:cs="Times New Roman"/>
                <w:sz w:val="24"/>
                <w:szCs w:val="24"/>
              </w:rPr>
              <w:t>de la</w:t>
            </w:r>
            <w:r w:rsidR="00625E25">
              <w:rPr>
                <w:rFonts w:ascii="Times New Roman" w:hAnsi="Times New Roman" w:cs="Times New Roman"/>
                <w:sz w:val="24"/>
                <w:szCs w:val="24"/>
              </w:rPr>
              <w:t xml:space="preserve"> </w:t>
            </w:r>
            <w:r w:rsidR="00625E25" w:rsidRPr="00625E25">
              <w:rPr>
                <w:rFonts w:ascii="Times New Roman" w:hAnsi="Times New Roman" w:cs="Times New Roman"/>
                <w:sz w:val="24"/>
                <w:szCs w:val="24"/>
              </w:rPr>
              <w:t>consecințele activităților lor infracționale</w:t>
            </w:r>
            <w:r w:rsidR="00961E8C">
              <w:rPr>
                <w:rFonts w:ascii="Times New Roman" w:hAnsi="Times New Roman" w:cs="Times New Roman"/>
                <w:sz w:val="24"/>
                <w:szCs w:val="24"/>
              </w:rPr>
              <w:t>.</w:t>
            </w:r>
          </w:p>
          <w:p w14:paraId="2B3D330D" w14:textId="77777777" w:rsidR="00A425B0" w:rsidRDefault="00A425B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25B0">
              <w:rPr>
                <w:rFonts w:ascii="Times New Roman" w:hAnsi="Times New Roman" w:cs="Times New Roman"/>
                <w:b/>
                <w:bCs/>
                <w:sz w:val="24"/>
                <w:szCs w:val="24"/>
              </w:rPr>
              <w:t xml:space="preserve">274. </w:t>
            </w:r>
            <w:r>
              <w:rPr>
                <w:rFonts w:ascii="Times New Roman" w:hAnsi="Times New Roman" w:cs="Times New Roman"/>
                <w:sz w:val="24"/>
                <w:szCs w:val="24"/>
              </w:rPr>
              <w:t xml:space="preserve">Curtea </w:t>
            </w:r>
            <w:r w:rsidRPr="00A425B0">
              <w:rPr>
                <w:rFonts w:ascii="Times New Roman" w:hAnsi="Times New Roman" w:cs="Times New Roman"/>
                <w:sz w:val="24"/>
                <w:szCs w:val="24"/>
              </w:rPr>
              <w:t>având în vedere principiul conform căruia nu este posibilă pedepsirea unei persoane pentru o faptă care angajează răspunderea penală a altei persoane, o măsură de confiscare aplicată, precum în speță, unor persoane fizice sau juridice care nu sunt părți în procedură este incompatibilă cu art. 7.</w:t>
            </w:r>
          </w:p>
          <w:p w14:paraId="523B469E" w14:textId="77777777" w:rsidR="00A425B0" w:rsidRDefault="00EA27EA"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A27EA">
              <w:rPr>
                <w:rFonts w:ascii="Times New Roman" w:hAnsi="Times New Roman" w:cs="Times New Roman"/>
                <w:b/>
                <w:bCs/>
                <w:sz w:val="24"/>
                <w:szCs w:val="24"/>
              </w:rPr>
              <w:t xml:space="preserve">294. </w:t>
            </w:r>
            <w:r w:rsidRPr="00EA27EA">
              <w:rPr>
                <w:rFonts w:ascii="Times New Roman" w:hAnsi="Times New Roman" w:cs="Times New Roman"/>
                <w:sz w:val="24"/>
                <w:szCs w:val="24"/>
              </w:rPr>
              <w:t>În speță, nu este necesar să se stabilească dacă încălcarea art. 7 constatată anterior</w:t>
            </w:r>
            <w:r>
              <w:rPr>
                <w:rFonts w:ascii="Times New Roman" w:hAnsi="Times New Roman" w:cs="Times New Roman"/>
                <w:sz w:val="24"/>
                <w:szCs w:val="24"/>
              </w:rPr>
              <w:t xml:space="preserve"> </w:t>
            </w:r>
            <w:r w:rsidRPr="00EA27EA">
              <w:rPr>
                <w:rFonts w:ascii="Times New Roman" w:hAnsi="Times New Roman" w:cs="Times New Roman"/>
                <w:sz w:val="24"/>
                <w:szCs w:val="24"/>
              </w:rPr>
              <w:t>are în mod automat drept consecință faptul că măsurile de confiscare în litigiu nu aveau niciun temei legal și, prin urmare, au încălcat art. 1 din Protocolul nr. 1, având în vedere concluziile de mai jos cu privire la problema dacă aceste măsuri de confiscare urmăreau un scop legitim și dacă erau proporționale</w:t>
            </w:r>
            <w:r>
              <w:rPr>
                <w:rFonts w:ascii="Times New Roman" w:hAnsi="Times New Roman" w:cs="Times New Roman"/>
                <w:sz w:val="24"/>
                <w:szCs w:val="24"/>
              </w:rPr>
              <w:t xml:space="preserve">. </w:t>
            </w:r>
          </w:p>
          <w:p w14:paraId="2682EA13" w14:textId="77777777" w:rsidR="00EA27EA" w:rsidRDefault="006A4002"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002">
              <w:rPr>
                <w:rFonts w:ascii="Times New Roman" w:hAnsi="Times New Roman" w:cs="Times New Roman"/>
                <w:b/>
                <w:bCs/>
                <w:sz w:val="24"/>
                <w:szCs w:val="24"/>
              </w:rPr>
              <w:t xml:space="preserve">295. </w:t>
            </w:r>
            <w:r w:rsidRPr="006A4002">
              <w:rPr>
                <w:rFonts w:ascii="Times New Roman" w:hAnsi="Times New Roman" w:cs="Times New Roman"/>
                <w:sz w:val="24"/>
                <w:szCs w:val="24"/>
              </w:rPr>
              <w:t>Nimeni nu poate contesta legitimitatea politicilor statului destinate protejării mediului, având în vedere că, prin intermediul acestora, sunt garantate și apărate, de asemenea, bunăstarea și sănătatea persoanelor</w:t>
            </w:r>
            <w:r>
              <w:rPr>
                <w:rFonts w:ascii="Times New Roman" w:hAnsi="Times New Roman" w:cs="Times New Roman"/>
                <w:sz w:val="24"/>
                <w:szCs w:val="24"/>
              </w:rPr>
              <w:t xml:space="preserve">. </w:t>
            </w:r>
            <w:r w:rsidR="00E26EA9" w:rsidRPr="00E26EA9">
              <w:rPr>
                <w:rFonts w:ascii="Times New Roman" w:hAnsi="Times New Roman" w:cs="Times New Roman"/>
                <w:sz w:val="24"/>
                <w:szCs w:val="24"/>
              </w:rPr>
              <w:t>Cu toate acestea, trebuie să se constate că examinarea situației actuale, care se bazează pe informațiile furnizate de părți, lasă loc unor îndoieli referitoare la atingerea scopului care a justificat măsurile contestate de reclamanți.</w:t>
            </w:r>
          </w:p>
          <w:p w14:paraId="4F0CC0B5" w14:textId="77777777" w:rsidR="00A95D3B" w:rsidRDefault="00A95D3B"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95D3B">
              <w:rPr>
                <w:rFonts w:ascii="Times New Roman" w:hAnsi="Times New Roman" w:cs="Times New Roman"/>
                <w:b/>
                <w:bCs/>
                <w:sz w:val="24"/>
                <w:szCs w:val="24"/>
              </w:rPr>
              <w:t>302</w:t>
            </w:r>
            <w:r>
              <w:rPr>
                <w:rFonts w:ascii="Times New Roman" w:hAnsi="Times New Roman" w:cs="Times New Roman"/>
                <w:sz w:val="24"/>
                <w:szCs w:val="24"/>
              </w:rPr>
              <w:t xml:space="preserve">. </w:t>
            </w:r>
            <w:r w:rsidRPr="00A95D3B">
              <w:rPr>
                <w:rFonts w:ascii="Times New Roman" w:hAnsi="Times New Roman" w:cs="Times New Roman"/>
                <w:sz w:val="24"/>
                <w:szCs w:val="24"/>
              </w:rPr>
              <w:t xml:space="preserve">Curtea a subliniat în repetate rânduri că, în pofida faptului că art. 1 din Protocolul nr. 1 nu include cerințe procedurale explicite, o procedură judiciară referitoare la dreptul unei persoane la respectarea bunurilor sale trebuie, de asemenea, să îi ofere persoanei în cauză o ocazie adecvată de a-și expune cauza în fața autorităților </w:t>
            </w:r>
            <w:r w:rsidRPr="00A95D3B">
              <w:rPr>
                <w:rFonts w:ascii="Times New Roman" w:hAnsi="Times New Roman" w:cs="Times New Roman"/>
                <w:sz w:val="24"/>
                <w:szCs w:val="24"/>
              </w:rPr>
              <w:lastRenderedPageBreak/>
              <w:t>competente, pentru a contesta în mod efectiv măsurile care aduc atingere drepturilor garantate de această dispoziție</w:t>
            </w:r>
            <w:r>
              <w:rPr>
                <w:rFonts w:ascii="Times New Roman" w:hAnsi="Times New Roman" w:cs="Times New Roman"/>
                <w:sz w:val="24"/>
                <w:szCs w:val="24"/>
              </w:rPr>
              <w:t>.</w:t>
            </w:r>
            <w:r w:rsidR="00D92E0B">
              <w:rPr>
                <w:rFonts w:ascii="Times New Roman" w:hAnsi="Times New Roman" w:cs="Times New Roman"/>
                <w:sz w:val="24"/>
                <w:szCs w:val="24"/>
              </w:rPr>
              <w:t xml:space="preserve"> </w:t>
            </w:r>
            <w:r w:rsidR="00D92E0B" w:rsidRPr="00D92E0B">
              <w:rPr>
                <w:rFonts w:ascii="Times New Roman" w:hAnsi="Times New Roman" w:cs="Times New Roman"/>
                <w:sz w:val="24"/>
                <w:szCs w:val="24"/>
              </w:rPr>
              <w:t>Astfel, o ingerință în exercitarea drepturilor prevăzute la art. 1 din Protocolul nr. 1 nu poate să fie legitimă în absența unei dezbateri contradictorii, care să respecte principiul egalității armelor și să permită discutarea aspectelor importante pentru soluționarea cauzei.</w:t>
            </w:r>
          </w:p>
          <w:p w14:paraId="71907A9F" w14:textId="16C772D8" w:rsidR="001B4571" w:rsidRPr="001B4571" w:rsidRDefault="00D92E0B"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92E0B">
              <w:rPr>
                <w:rFonts w:ascii="Times New Roman" w:hAnsi="Times New Roman" w:cs="Times New Roman"/>
                <w:b/>
                <w:bCs/>
                <w:sz w:val="24"/>
                <w:szCs w:val="24"/>
              </w:rPr>
              <w:t xml:space="preserve">303. </w:t>
            </w:r>
            <w:r w:rsidRPr="00D92E0B">
              <w:rPr>
                <w:rFonts w:ascii="Times New Roman" w:hAnsi="Times New Roman" w:cs="Times New Roman"/>
                <w:sz w:val="24"/>
                <w:szCs w:val="24"/>
              </w:rPr>
              <w:t>Aplicarea automată a confiscării în caz de lotizare nelegală, prevăzută – cu excepția terților de bună-credință – de legea italiană, nu este compatibilă cu aceste principii, în măsura în care nu permite instanței să evalueze care sunt instrumentele cele mai adecvate în raport cu circumstanțele specifice ale speței și, mai general, să pună în balanță scopul</w:t>
            </w:r>
            <w:r w:rsidR="001B4571">
              <w:rPr>
                <w:rFonts w:ascii="Times New Roman" w:hAnsi="Times New Roman" w:cs="Times New Roman"/>
                <w:sz w:val="24"/>
                <w:szCs w:val="24"/>
              </w:rPr>
              <w:t xml:space="preserve"> </w:t>
            </w:r>
            <w:r>
              <w:rPr>
                <w:rFonts w:ascii="Times New Roman" w:hAnsi="Times New Roman" w:cs="Times New Roman"/>
                <w:sz w:val="24"/>
                <w:szCs w:val="24"/>
              </w:rPr>
              <w:t>1</w:t>
            </w:r>
            <w:r w:rsidRPr="00D92E0B">
              <w:rPr>
                <w:rFonts w:ascii="Times New Roman" w:hAnsi="Times New Roman" w:cs="Times New Roman"/>
                <w:sz w:val="24"/>
                <w:szCs w:val="24"/>
              </w:rPr>
              <w:t>egitim urmărit de sancțiune și drepturile persoanelor interesate afectate de respectiva sancțiune. În plus, întrucât societățile reclamante nu au fost părți în procedurile în litigiu, ele nu au profitat de garanțiile procedurale</w:t>
            </w:r>
            <w:r w:rsidR="001B4571">
              <w:rPr>
                <w:rFonts w:ascii="Times New Roman" w:hAnsi="Times New Roman" w:cs="Times New Roman"/>
                <w:sz w:val="24"/>
                <w:szCs w:val="24"/>
              </w:rPr>
              <w:t xml:space="preserve">. </w:t>
            </w:r>
          </w:p>
        </w:tc>
        <w:tc>
          <w:tcPr>
            <w:tcW w:w="2693" w:type="dxa"/>
          </w:tcPr>
          <w:p w14:paraId="713712D9" w14:textId="77777777" w:rsidR="009E4369" w:rsidRDefault="00431F6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Violare art. </w:t>
            </w:r>
            <w:r w:rsidR="00866302">
              <w:rPr>
                <w:rFonts w:ascii="Times New Roman" w:hAnsi="Times New Roman" w:cs="Times New Roman"/>
                <w:sz w:val="24"/>
                <w:szCs w:val="24"/>
                <w:lang w:val="ro-RO"/>
              </w:rPr>
              <w:t xml:space="preserve">7 asupra tuturor, cu excepția d-lui Gironda, </w:t>
            </w:r>
          </w:p>
          <w:p w14:paraId="15ADCD37" w14:textId="77777777" w:rsidR="00866302" w:rsidRDefault="0086630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BEDE77D" w14:textId="77777777" w:rsidR="0065059C" w:rsidRDefault="0065059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Violare art.1 Protocolul 1 </w:t>
            </w:r>
          </w:p>
          <w:p w14:paraId="60F50E8E" w14:textId="77777777" w:rsidR="00CD28A1" w:rsidRDefault="00CD28A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7D4EAFB8" w14:textId="77777777" w:rsidR="00CD28A1" w:rsidRDefault="00CD28A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ro-RO"/>
              </w:rPr>
              <w:t xml:space="preserve">Violare art.6 </w:t>
            </w:r>
            <w:r w:rsidRPr="00031651">
              <w:rPr>
                <w:rFonts w:ascii="Times New Roman" w:hAnsi="Times New Roman" w:cs="Times New Roman"/>
                <w:sz w:val="24"/>
                <w:szCs w:val="24"/>
              </w:rPr>
              <w:t>§</w:t>
            </w:r>
            <w:r>
              <w:rPr>
                <w:rFonts w:ascii="Times New Roman" w:hAnsi="Times New Roman" w:cs="Times New Roman"/>
                <w:sz w:val="24"/>
                <w:szCs w:val="24"/>
              </w:rPr>
              <w:t xml:space="preserve"> 2 în cazul d-lui Gironda</w:t>
            </w:r>
          </w:p>
          <w:p w14:paraId="06795010" w14:textId="77777777" w:rsidR="00CD28A1" w:rsidRDefault="00CD28A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EBD24B1" w14:textId="3FF57E7D" w:rsidR="00CD28A1" w:rsidRPr="00031651" w:rsidRDefault="0078312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rPr>
              <w:t>În privința art. 41</w:t>
            </w:r>
            <w:r w:rsidR="008D20BF">
              <w:rPr>
                <w:rFonts w:ascii="Times New Roman" w:hAnsi="Times New Roman" w:cs="Times New Roman"/>
                <w:sz w:val="24"/>
                <w:szCs w:val="24"/>
              </w:rPr>
              <w:t xml:space="preserve"> Curtea amână pronunțarea </w:t>
            </w:r>
          </w:p>
        </w:tc>
      </w:tr>
      <w:tr w:rsidR="009E4369" w:rsidRPr="00031651" w14:paraId="01087BF7"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499857C2" w14:textId="1DCD7C8F" w:rsidR="009E4369" w:rsidRPr="00031651" w:rsidRDefault="004153C8"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10</w:t>
            </w:r>
          </w:p>
        </w:tc>
        <w:tc>
          <w:tcPr>
            <w:tcW w:w="1525" w:type="dxa"/>
          </w:tcPr>
          <w:p w14:paraId="3A9C660A" w14:textId="77777777" w:rsidR="006262A4" w:rsidRPr="00031651" w:rsidRDefault="006262A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24ED43E7" w14:textId="37308B87" w:rsidR="009E4369" w:rsidRPr="00031651" w:rsidRDefault="0042183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Defăimare</w:t>
            </w:r>
          </w:p>
          <w:p w14:paraId="2B6B6A51" w14:textId="77777777" w:rsidR="00222B85" w:rsidRPr="00031651" w:rsidRDefault="00222B8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746B9373" w14:textId="0EC98A2B" w:rsidR="00222B85" w:rsidRPr="00031651" w:rsidRDefault="00222B8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633" w:type="dxa"/>
          </w:tcPr>
          <w:p w14:paraId="1FF5AC0C" w14:textId="6C6DE254" w:rsidR="00222B85" w:rsidRPr="00031651" w:rsidRDefault="0023564B" w:rsidP="008E09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45581/15</w:t>
            </w:r>
          </w:p>
          <w:p w14:paraId="62C92B4D" w14:textId="23156976" w:rsidR="00222B85" w:rsidRPr="00031651" w:rsidRDefault="008E094B" w:rsidP="008E09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15/05/2023</w:t>
            </w:r>
          </w:p>
          <w:p w14:paraId="49863BCE" w14:textId="45329FFA" w:rsidR="002B7651" w:rsidRPr="00031651" w:rsidRDefault="002B7651" w:rsidP="008E094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Sanchez </w:t>
            </w:r>
            <w:r w:rsidR="00151562" w:rsidRPr="00031651">
              <w:rPr>
                <w:rFonts w:ascii="Times New Roman" w:hAnsi="Times New Roman" w:cs="Times New Roman"/>
                <w:sz w:val="24"/>
                <w:szCs w:val="24"/>
                <w:lang w:val="ro-RO"/>
              </w:rPr>
              <w:t>contra</w:t>
            </w:r>
            <w:r w:rsidRPr="00031651">
              <w:rPr>
                <w:rFonts w:ascii="Times New Roman" w:hAnsi="Times New Roman" w:cs="Times New Roman"/>
                <w:sz w:val="24"/>
                <w:szCs w:val="24"/>
                <w:lang w:val="ro-RO"/>
              </w:rPr>
              <w:t xml:space="preserve"> Franța </w:t>
            </w:r>
          </w:p>
          <w:p w14:paraId="5E04AB25"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74269AC2" w14:textId="79E038BB" w:rsidR="009E4369" w:rsidRPr="00031651" w:rsidRDefault="004A43B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140, 141,150,151,180,184,207</w:t>
            </w:r>
          </w:p>
        </w:tc>
        <w:tc>
          <w:tcPr>
            <w:tcW w:w="1559" w:type="dxa"/>
          </w:tcPr>
          <w:p w14:paraId="080BE909" w14:textId="68B12E16" w:rsidR="009E4369" w:rsidRPr="00031651" w:rsidRDefault="00DD25A5" w:rsidP="00410E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Religie,</w:t>
            </w:r>
            <w:r w:rsidR="00EF4071" w:rsidRPr="00031651">
              <w:rPr>
                <w:rFonts w:ascii="Times New Roman" w:hAnsi="Times New Roman" w:cs="Times New Roman"/>
                <w:sz w:val="24"/>
                <w:szCs w:val="24"/>
                <w:lang w:val="ro-RO"/>
              </w:rPr>
              <w:t xml:space="preserve"> islamo</w:t>
            </w:r>
            <w:r w:rsidR="00CB20B5" w:rsidRPr="00031651">
              <w:rPr>
                <w:rFonts w:ascii="Times New Roman" w:hAnsi="Times New Roman" w:cs="Times New Roman"/>
                <w:sz w:val="24"/>
                <w:szCs w:val="24"/>
                <w:lang w:val="ro-RO"/>
              </w:rPr>
              <w:t xml:space="preserve">fobie, </w:t>
            </w:r>
            <w:r w:rsidR="00514036" w:rsidRPr="00031651">
              <w:rPr>
                <w:rFonts w:ascii="Times New Roman" w:hAnsi="Times New Roman" w:cs="Times New Roman"/>
                <w:sz w:val="24"/>
                <w:szCs w:val="24"/>
                <w:lang w:val="ro-RO"/>
              </w:rPr>
              <w:t xml:space="preserve">discurs de ură, </w:t>
            </w:r>
            <w:r w:rsidR="00F75FB3" w:rsidRPr="00031651">
              <w:rPr>
                <w:rFonts w:ascii="Times New Roman" w:hAnsi="Times New Roman" w:cs="Times New Roman"/>
                <w:sz w:val="24"/>
                <w:szCs w:val="24"/>
                <w:lang w:val="ro-RO"/>
              </w:rPr>
              <w:t xml:space="preserve">comentarii </w:t>
            </w:r>
            <w:r w:rsidR="00D22456" w:rsidRPr="00031651">
              <w:rPr>
                <w:rFonts w:ascii="Times New Roman" w:hAnsi="Times New Roman" w:cs="Times New Roman"/>
                <w:sz w:val="24"/>
                <w:szCs w:val="24"/>
                <w:lang w:val="ro-RO"/>
              </w:rPr>
              <w:t>pe platforme</w:t>
            </w:r>
            <w:r w:rsidR="005369A9" w:rsidRPr="00031651">
              <w:rPr>
                <w:rFonts w:ascii="Times New Roman" w:hAnsi="Times New Roman" w:cs="Times New Roman"/>
                <w:sz w:val="24"/>
                <w:szCs w:val="24"/>
                <w:lang w:val="ro-RO"/>
              </w:rPr>
              <w:t>,</w:t>
            </w:r>
            <w:r w:rsidR="006F26BF" w:rsidRPr="00031651">
              <w:rPr>
                <w:rFonts w:ascii="Times New Roman" w:hAnsi="Times New Roman" w:cs="Times New Roman"/>
                <w:sz w:val="24"/>
                <w:szCs w:val="24"/>
                <w:lang w:val="ro-RO"/>
              </w:rPr>
              <w:t xml:space="preserve"> rasism</w:t>
            </w:r>
            <w:r w:rsidR="001C13A8" w:rsidRPr="00031651">
              <w:rPr>
                <w:rFonts w:ascii="Times New Roman" w:hAnsi="Times New Roman" w:cs="Times New Roman"/>
                <w:sz w:val="24"/>
                <w:szCs w:val="24"/>
                <w:lang w:val="ro-RO"/>
              </w:rPr>
              <w:t>, discurs de ură</w:t>
            </w:r>
            <w:r w:rsidR="009F475E" w:rsidRPr="00031651">
              <w:rPr>
                <w:rFonts w:ascii="Times New Roman" w:hAnsi="Times New Roman" w:cs="Times New Roman"/>
                <w:sz w:val="24"/>
                <w:szCs w:val="24"/>
                <w:lang w:val="ro-RO"/>
              </w:rPr>
              <w:t xml:space="preserve">, moderarea comentariilor, </w:t>
            </w:r>
            <w:r w:rsidR="003946B3" w:rsidRPr="00031651">
              <w:rPr>
                <w:rFonts w:ascii="Times New Roman" w:hAnsi="Times New Roman" w:cs="Times New Roman"/>
                <w:sz w:val="24"/>
                <w:szCs w:val="24"/>
                <w:lang w:val="ro-RO"/>
              </w:rPr>
              <w:t>responsabilit</w:t>
            </w:r>
            <w:r w:rsidR="00F37903" w:rsidRPr="00031651">
              <w:rPr>
                <w:rFonts w:ascii="Times New Roman" w:hAnsi="Times New Roman" w:cs="Times New Roman"/>
                <w:sz w:val="24"/>
                <w:szCs w:val="24"/>
                <w:lang w:val="ro-RO"/>
              </w:rPr>
              <w:t>a</w:t>
            </w:r>
            <w:r w:rsidR="003946B3" w:rsidRPr="00031651">
              <w:rPr>
                <w:rFonts w:ascii="Times New Roman" w:hAnsi="Times New Roman" w:cs="Times New Roman"/>
                <w:sz w:val="24"/>
                <w:szCs w:val="24"/>
                <w:lang w:val="ro-RO"/>
              </w:rPr>
              <w:t>tea persoanei</w:t>
            </w:r>
            <w:r w:rsidR="00410EAA" w:rsidRPr="00031651">
              <w:rPr>
                <w:rFonts w:ascii="Times New Roman" w:hAnsi="Times New Roman" w:cs="Times New Roman"/>
                <w:sz w:val="24"/>
                <w:szCs w:val="24"/>
                <w:lang w:val="ro-RO"/>
              </w:rPr>
              <w:t xml:space="preserve"> publice, </w:t>
            </w:r>
          </w:p>
        </w:tc>
        <w:tc>
          <w:tcPr>
            <w:tcW w:w="6804" w:type="dxa"/>
          </w:tcPr>
          <w:p w14:paraId="4EA03036" w14:textId="6435BCD3" w:rsidR="009E4369" w:rsidRPr="00031651" w:rsidRDefault="007F06CA"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140. </w:t>
            </w:r>
            <w:r w:rsidR="0059352B" w:rsidRPr="00031651">
              <w:rPr>
                <w:rFonts w:ascii="Times New Roman" w:hAnsi="Times New Roman" w:cs="Times New Roman"/>
                <w:sz w:val="24"/>
                <w:szCs w:val="24"/>
              </w:rPr>
              <w:t xml:space="preserve">Curtea subliniază din nou că nu este sarcina sa să se pronunțe cu privire la oportunitatea metodelor alese de legiuitorul statului pârât pentru reglementarea unui anumit domeniu. Lipsa unui sistem de notificare prealabilă a producătorului nu poate, prin ea însăși, să genereze o problemă din perspectiva legalității ingerinței, indiferent de eventualele diferențe raportate la regimul aplicabil găzduitorilor. Curtea reiterează, de asemenea, că, în cauzele în care comentariile utilizatorilor terți constituie discurs al urii, drepturile și interesele altora și ale societății în ansamblu pot justifica impunerea răspunderii asupra portalurilor de știri online relevante, fără a încălca articolul 10 din Convenție, în cazul în care acestea nu iau măsuri pentru eliminarea fără întârziere a comentariilor vădit ilegale, chiar fără notificări din partea pretinsei victime sau a terților. Chiar dacă situația reclamantului nu poate fi comparată cu cea a unui portal de știri online, Curtea nu găsește niciun motiv să considere altfel în prezenta cauză. O situație care implică interpretarea judiciară a principiilor conținute în legislație nu va încălca, în sine, cerința ca legea să fie formulată în termeni suficient de preciși, rolul atribuit instanțelor fiind tocmai acela de a elimina </w:t>
            </w:r>
            <w:r w:rsidR="0059352B" w:rsidRPr="00031651">
              <w:rPr>
                <w:rFonts w:ascii="Times New Roman" w:hAnsi="Times New Roman" w:cs="Times New Roman"/>
                <w:sz w:val="24"/>
                <w:szCs w:val="24"/>
              </w:rPr>
              <w:lastRenderedPageBreak/>
              <w:t>neclaritățile interpretative rămase.</w:t>
            </w:r>
          </w:p>
          <w:p w14:paraId="2D0E7381" w14:textId="26A9DC8F" w:rsidR="00811C6D" w:rsidRPr="00031651" w:rsidRDefault="00811C6D" w:rsidP="00811C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141. </w:t>
            </w:r>
            <w:r w:rsidRPr="00031651">
              <w:rPr>
                <w:rFonts w:ascii="Times New Roman" w:hAnsi="Times New Roman" w:cs="Times New Roman"/>
                <w:sz w:val="24"/>
                <w:szCs w:val="24"/>
              </w:rPr>
              <w:t xml:space="preserve">Curtea observă că problema răspunderii titularului unui cont Facebook, în speță un politician aflat în campanie electorală, pentru remarci publicate pe „peretele” său, în special într-un context politic și electoral, nu făcuse încă obiectul unei jurisprudențe specifice la momentul relevant. Totuși, după cum Curtea a subliniat deja, existența unei marje de incertitudine cu privire la consecințele aplicării unei legi la fapte situate la limită nu înseamnă, în sine, că aplicarea sa nu îndeplinește cerința previzibilității, și nici faptul că prezenta cauză reprezintă prima situație de acest tip nu face ca interpretarea legii să fie imprevizibilă. </w:t>
            </w:r>
          </w:p>
          <w:p w14:paraId="1E71DFC0" w14:textId="531ABAC5" w:rsidR="00811C6D" w:rsidRPr="00031651" w:rsidRDefault="00811C6D" w:rsidP="00811C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Mai mult, așa cum Camera a remarcat în mod corect, reclamantul, deși asistat de un avocat în fața Consiliului de Stat și a Curții de Casație, nu a ridicat această chestiune în recursul său, demonstrând astfel că nu a intenționat să conteste în fața instanțelor naționale calitatea temeiului juridic al procedurii îndreptate împotriva sa. În orice caz, Curtea observă că reclamantul nu și-a fundamentat susținerea potrivit căreia interpretarea instanțelor interne ar fi fost arbitrară sau vădit nerezonabilă. Dimpotrivă, având în vedere cele de mai sus, aceasta a constituit una dintre interpretările posibile și în mod rezonabil previzibile.</w:t>
            </w:r>
          </w:p>
          <w:p w14:paraId="7CD68FA5" w14:textId="07FCA1FB" w:rsidR="003430C7" w:rsidRPr="00031651" w:rsidRDefault="003430C7" w:rsidP="00811C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150</w:t>
            </w:r>
            <w:r w:rsidRPr="00031651">
              <w:rPr>
                <w:rFonts w:ascii="Times New Roman" w:hAnsi="Times New Roman" w:cs="Times New Roman"/>
                <w:sz w:val="24"/>
                <w:szCs w:val="24"/>
              </w:rPr>
              <w:t>. Mai mult, figurile politice au, de asemenea, îndatoriri și responsabilități. Astfel, Curtea a constatat că este esențial ca politicienii, atunci când se exprimă în public, să evite comentariile care ar putea alimenta intoleranța și că aceștia trebuie, de asemenea, să fie în mod deosebit atenți să apere democrația și principiile sale, scopul lor final fiind acela de a guverna. În special, încurajarea excluderii străinilor constituie o atingere fundamentală adusă drepturilor individuale, iar fiecare – inclusiv politicienii – ar trebui să manifeste o precauție specială atunci când abordează astfel de subiecte. Prin urmare, remarcile susceptibile să trezească un sentiment de respingere și ostilitate față de o comunitate se situează în afara protecției garantate de articolul 10.</w:t>
            </w:r>
          </w:p>
          <w:p w14:paraId="29781371" w14:textId="5D85D93F" w:rsidR="000E4A5A" w:rsidRPr="00031651" w:rsidRDefault="000E4A5A" w:rsidP="00811C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151.</w:t>
            </w:r>
            <w:r w:rsidRPr="00031651">
              <w:rPr>
                <w:rFonts w:ascii="Times New Roman" w:hAnsi="Times New Roman" w:cs="Times New Roman"/>
                <w:sz w:val="24"/>
                <w:szCs w:val="24"/>
              </w:rPr>
              <w:t xml:space="preserve"> Această responsabilitate nu exclude, desigur, orice discuție a </w:t>
            </w:r>
            <w:r w:rsidRPr="00031651">
              <w:rPr>
                <w:rFonts w:ascii="Times New Roman" w:hAnsi="Times New Roman" w:cs="Times New Roman"/>
                <w:sz w:val="24"/>
                <w:szCs w:val="24"/>
              </w:rPr>
              <w:lastRenderedPageBreak/>
              <w:t>unor chestiuni delicate sau sensibile, dar trebuie avut în vedere că partidele politice au dreptul de a-și apăra opiniile în public, chiar dacă unele dintre acestea pot ofensa, șoca sau deranja o parte a populației. Ele pot, așadar, să propună soluții la problemele legate de imigrație, dar, făcând acest lucru, trebuie să evite promovarea discriminării rasiale și recurgerea la remarci sau atitudini vexatorii sau umilitoare, deoarece un asemenea comportament ar putea declanșa reacții în rândul publicului care ar fi dăunătoare climatului social pașnic și ar putea submina încrederea în instituțiile democratice</w:t>
            </w:r>
            <w:r w:rsidR="00B726E5" w:rsidRPr="00031651">
              <w:rPr>
                <w:rFonts w:ascii="Times New Roman" w:hAnsi="Times New Roman" w:cs="Times New Roman"/>
                <w:sz w:val="24"/>
                <w:szCs w:val="24"/>
              </w:rPr>
              <w:t>.</w:t>
            </w:r>
          </w:p>
          <w:p w14:paraId="1C5D3FA8" w14:textId="1F2844A9" w:rsidR="0059352B" w:rsidRPr="00031651" w:rsidRDefault="00893BCC"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180. </w:t>
            </w:r>
            <w:r w:rsidRPr="00031651">
              <w:rPr>
                <w:rFonts w:ascii="Times New Roman" w:hAnsi="Times New Roman" w:cs="Times New Roman"/>
                <w:sz w:val="24"/>
                <w:szCs w:val="24"/>
              </w:rPr>
              <w:t>În prezenta cauză, Curtea observă că „peretele” de Facebook al reclamantului nu este comparabil cu „un portal mare de știri pe Internet, gestionat profesional și exploatat în scop comercial”, contrar argumentului Guvernului pârât. Deși nu există niciun dubiu că acesta se încadrează în categoria „altor forumuri de pe Internet unde pot fi difuzate comentarii ale terților”, trăsăturile specifice ale prezentei cauze determină Curtea să abordeze această chestiune din perspectiva „îndatoririlor și responsabilităților”, în sensul articolului 10 § 2 din Convenție, care trebuie atribuite politicienilor atunci când decid să utilizeze rețelele de socializare în scopuri politice, în special pentru îndeplinirea obiectivelor electorale, prin deschiderea unor forumuri accesibile publicului pe Internet, unde pot fi publicate reacțiile și comentariile utilizatorilor. Reclamantul nu era doar un simplu particular, iar el însuși a subliniat că utiliza acest cont în calitatea sa de consilier local, în scopuri politice și în context electoral. În plus, Curtea observă că reclamantul nu este doar un profesionist în domeniul politic, ci deține și o anumită expertiză în domeniul serviciilor digitale. Site-ul primăriei din Beaucaire conține o pagină de prezentare a reclamantului în calitate de primar, în care se precizează expres că, în „viața sa profesională”</w:t>
            </w:r>
            <w:r w:rsidR="00F21A7C" w:rsidRPr="00031651">
              <w:rPr>
                <w:rFonts w:ascii="Times New Roman" w:hAnsi="Times New Roman" w:cs="Times New Roman"/>
                <w:sz w:val="24"/>
                <w:szCs w:val="24"/>
              </w:rPr>
              <w:t>.</w:t>
            </w:r>
          </w:p>
          <w:p w14:paraId="0F2EA2C0" w14:textId="29BBCDE7" w:rsidR="00B451E5" w:rsidRPr="00031651" w:rsidRDefault="0071732E" w:rsidP="00B451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184. </w:t>
            </w:r>
            <w:r w:rsidRPr="00031651">
              <w:rPr>
                <w:rFonts w:ascii="Times New Roman" w:hAnsi="Times New Roman" w:cs="Times New Roman"/>
                <w:sz w:val="24"/>
                <w:szCs w:val="24"/>
              </w:rPr>
              <w:t xml:space="preserve">Având în vedere că internetul a devenit unul dintre principalele mijloace prin care indivizii își exercită dreptul la libertatea de exprimare, Curtea consideră că ingerințele în exercitarea acestui drept trebuie examinate cu o atenție deosebită, întrucât acestea sunt </w:t>
            </w:r>
            <w:r w:rsidRPr="00031651">
              <w:rPr>
                <w:rFonts w:ascii="Times New Roman" w:hAnsi="Times New Roman" w:cs="Times New Roman"/>
                <w:sz w:val="24"/>
                <w:szCs w:val="24"/>
              </w:rPr>
              <w:lastRenderedPageBreak/>
              <w:t>susceptibile de a avea un efect descurajator (chilling effect), ceea ce implică un risc de autocenzură. Totuși, identificarea unui asemenea risc nu trebuie să umbrească existența altor pericole pentru exercitarea și beneficierea drepturilor și libertăților fundamentale, în special acelea care provin din remarci ilegale, defăimătoare, instigatoare la ură sau la violență, care pot fi difuzate într-un mod fără precedent. Din acest motiv, posibilitatea pentru persoanele care denunță discursuri defăimătoare sau de altă natură ilegală de a introduce o acțiune pentru stabilirea răspunderii trebuie, în principiu, să fie menținută, pentru a constitui un remediu efectiv pentru încălcările invocate</w:t>
            </w:r>
            <w:r w:rsidR="00B451E5" w:rsidRPr="00031651">
              <w:rPr>
                <w:rFonts w:ascii="Times New Roman" w:hAnsi="Times New Roman" w:cs="Times New Roman"/>
                <w:sz w:val="24"/>
                <w:szCs w:val="24"/>
              </w:rPr>
              <w:t xml:space="preserve">. </w:t>
            </w:r>
          </w:p>
          <w:p w14:paraId="4BF7A8C1" w14:textId="55448796" w:rsidR="005E6FF6" w:rsidRPr="00031651" w:rsidRDefault="005E6FF6" w:rsidP="00B451E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207. </w:t>
            </w:r>
            <w:r w:rsidRPr="00031651">
              <w:rPr>
                <w:rFonts w:ascii="Times New Roman" w:hAnsi="Times New Roman" w:cs="Times New Roman"/>
                <w:sz w:val="24"/>
                <w:szCs w:val="24"/>
              </w:rPr>
              <w:t>Curtea reiterează faptul că aplicarea unei pedepse cu închisoarea pentru o infracțiune în domeniul discursului politic poate fi compatibilă cu libertatea de exprimare garantată de articolul 10 al Convenției, însă numai în circumstanțe excepționale, în special în cazurile de discurs al urii (hate speech) sau incitare la violență În plus, chiar dacă o amendă de un anumit cuantum poate părea severă în raport cu circumstanțele, aceasta trebuie evaluată în lumina faptului că în principiu ar fi putut fi aplicată o pedeapsă cu închisoarea</w:t>
            </w:r>
            <w:r w:rsidR="00B451E5" w:rsidRPr="00031651">
              <w:rPr>
                <w:rFonts w:ascii="Times New Roman" w:hAnsi="Times New Roman" w:cs="Times New Roman"/>
                <w:sz w:val="24"/>
                <w:szCs w:val="24"/>
              </w:rPr>
              <w:t xml:space="preserve">. </w:t>
            </w:r>
          </w:p>
        </w:tc>
        <w:tc>
          <w:tcPr>
            <w:tcW w:w="2693" w:type="dxa"/>
          </w:tcPr>
          <w:p w14:paraId="7711CD93" w14:textId="5173BEBA" w:rsidR="009E4369" w:rsidRPr="00031651" w:rsidRDefault="0079440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Neviolare art.10 </w:t>
            </w:r>
          </w:p>
        </w:tc>
      </w:tr>
      <w:tr w:rsidR="009E4369" w:rsidRPr="00031651" w14:paraId="452BF83B"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270A3164" w14:textId="77777777" w:rsidR="009E4369" w:rsidRPr="00031651" w:rsidRDefault="00864C15" w:rsidP="00B04FC2">
            <w:pPr>
              <w:jc w:val="center"/>
              <w:rPr>
                <w:rFonts w:ascii="Times New Roman" w:hAnsi="Times New Roman" w:cs="Times New Roman"/>
                <w:b w:val="0"/>
                <w:bCs w:val="0"/>
                <w:sz w:val="24"/>
                <w:szCs w:val="24"/>
              </w:rPr>
            </w:pPr>
            <w:r w:rsidRPr="00031651">
              <w:rPr>
                <w:rFonts w:ascii="Times New Roman" w:hAnsi="Times New Roman" w:cs="Times New Roman"/>
                <w:sz w:val="24"/>
                <w:szCs w:val="24"/>
                <w:lang w:val="ro-RO"/>
              </w:rPr>
              <w:lastRenderedPageBreak/>
              <w:t xml:space="preserve">6 </w:t>
            </w:r>
            <w:r w:rsidR="00EB15C3" w:rsidRPr="00031651">
              <w:rPr>
                <w:rFonts w:ascii="Times New Roman" w:hAnsi="Times New Roman" w:cs="Times New Roman"/>
                <w:sz w:val="24"/>
                <w:szCs w:val="24"/>
              </w:rPr>
              <w:t xml:space="preserve">§ 1 </w:t>
            </w:r>
          </w:p>
          <w:p w14:paraId="50C2CA12" w14:textId="77777777" w:rsidR="00EB15C3" w:rsidRPr="00031651" w:rsidRDefault="00EB15C3" w:rsidP="00B04FC2">
            <w:pPr>
              <w:jc w:val="center"/>
              <w:rPr>
                <w:rFonts w:ascii="Times New Roman" w:hAnsi="Times New Roman" w:cs="Times New Roman"/>
                <w:b w:val="0"/>
                <w:bCs w:val="0"/>
                <w:sz w:val="24"/>
                <w:szCs w:val="24"/>
              </w:rPr>
            </w:pPr>
          </w:p>
          <w:p w14:paraId="6577700C" w14:textId="1B344101" w:rsidR="00EB15C3" w:rsidRPr="00031651" w:rsidRDefault="00EB15C3"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rPr>
              <w:t xml:space="preserve">2 Prt. 7 </w:t>
            </w:r>
          </w:p>
        </w:tc>
        <w:tc>
          <w:tcPr>
            <w:tcW w:w="1525" w:type="dxa"/>
          </w:tcPr>
          <w:p w14:paraId="32126064" w14:textId="694E3BC0" w:rsidR="00FD2A3E" w:rsidRPr="00031651" w:rsidRDefault="00A86EC5" w:rsidP="00A86E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Obligații pozitive</w:t>
            </w:r>
          </w:p>
        </w:tc>
        <w:tc>
          <w:tcPr>
            <w:tcW w:w="1633" w:type="dxa"/>
          </w:tcPr>
          <w:p w14:paraId="7C90B284" w14:textId="2F531373" w:rsidR="00A7220D" w:rsidRPr="00031651" w:rsidRDefault="00A7220D" w:rsidP="00D832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19750/13</w:t>
            </w:r>
          </w:p>
          <w:p w14:paraId="431B956B" w14:textId="0AC24F07" w:rsidR="00A7220D" w:rsidRPr="00031651" w:rsidRDefault="00A7220D" w:rsidP="00D832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01/06/2023</w:t>
            </w:r>
          </w:p>
          <w:p w14:paraId="4C2027C6" w14:textId="32FA4CFA" w:rsidR="002B7651" w:rsidRPr="00031651" w:rsidRDefault="002B7651" w:rsidP="00D832DC">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Grosam </w:t>
            </w:r>
            <w:r w:rsidR="00A7220D" w:rsidRPr="00031651">
              <w:rPr>
                <w:rFonts w:ascii="Times New Roman" w:hAnsi="Times New Roman" w:cs="Times New Roman"/>
                <w:sz w:val="24"/>
                <w:szCs w:val="24"/>
                <w:lang w:val="ro-RO"/>
              </w:rPr>
              <w:t>contra</w:t>
            </w:r>
            <w:r w:rsidRPr="00031651">
              <w:rPr>
                <w:rFonts w:ascii="Times New Roman" w:hAnsi="Times New Roman" w:cs="Times New Roman"/>
                <w:sz w:val="24"/>
                <w:szCs w:val="24"/>
                <w:lang w:val="ro-RO"/>
              </w:rPr>
              <w:t xml:space="preserve"> </w:t>
            </w:r>
            <w:r w:rsidR="007727FB" w:rsidRPr="00031651">
              <w:rPr>
                <w:rFonts w:ascii="Times New Roman" w:hAnsi="Times New Roman" w:cs="Times New Roman"/>
                <w:sz w:val="24"/>
                <w:szCs w:val="24"/>
                <w:lang w:val="ro-RO"/>
              </w:rPr>
              <w:t>Republicii Cehe</w:t>
            </w:r>
          </w:p>
          <w:p w14:paraId="0608A29D"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35C23F43" w14:textId="77777777" w:rsidR="005E587C" w:rsidRDefault="004A43B3" w:rsidP="005E58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57,58,92,</w:t>
            </w:r>
            <w:r w:rsidR="006816A0" w:rsidRPr="00031651">
              <w:rPr>
                <w:rFonts w:ascii="Times New Roman" w:hAnsi="Times New Roman" w:cs="Times New Roman"/>
                <w:sz w:val="24"/>
                <w:szCs w:val="24"/>
                <w:lang w:val="ro-RO"/>
              </w:rPr>
              <w:t>95,</w:t>
            </w:r>
            <w:r w:rsidRPr="00031651">
              <w:rPr>
                <w:rFonts w:ascii="Times New Roman" w:hAnsi="Times New Roman" w:cs="Times New Roman"/>
                <w:sz w:val="24"/>
                <w:szCs w:val="24"/>
                <w:lang w:val="ro-RO"/>
              </w:rPr>
              <w:t>130,</w:t>
            </w:r>
          </w:p>
          <w:p w14:paraId="1453230D" w14:textId="2FA05AA5" w:rsidR="009E4369" w:rsidRPr="00031651" w:rsidRDefault="004A43B3" w:rsidP="005E58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131,132</w:t>
            </w:r>
          </w:p>
        </w:tc>
        <w:tc>
          <w:tcPr>
            <w:tcW w:w="1559" w:type="dxa"/>
          </w:tcPr>
          <w:p w14:paraId="54745E2C" w14:textId="5B405F54" w:rsidR="009E4369" w:rsidRPr="00031651" w:rsidRDefault="005D3DD2"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Garanții insuficiente,</w:t>
            </w:r>
            <w:r w:rsidR="0079022A" w:rsidRPr="00031651">
              <w:rPr>
                <w:rFonts w:ascii="Times New Roman" w:hAnsi="Times New Roman" w:cs="Times New Roman"/>
                <w:sz w:val="24"/>
                <w:szCs w:val="24"/>
                <w:lang w:val="ro-RO"/>
              </w:rPr>
              <w:t xml:space="preserve"> </w:t>
            </w:r>
            <w:r w:rsidRPr="00031651">
              <w:rPr>
                <w:rFonts w:ascii="Times New Roman" w:hAnsi="Times New Roman" w:cs="Times New Roman"/>
                <w:sz w:val="24"/>
                <w:szCs w:val="24"/>
                <w:lang w:val="ro-RO"/>
              </w:rPr>
              <w:t xml:space="preserve"> </w:t>
            </w:r>
            <w:r w:rsidR="001134DC" w:rsidRPr="00031651">
              <w:rPr>
                <w:rFonts w:ascii="Times New Roman" w:hAnsi="Times New Roman" w:cs="Times New Roman"/>
                <w:sz w:val="24"/>
                <w:szCs w:val="24"/>
                <w:lang w:val="ro-RO"/>
              </w:rPr>
              <w:t xml:space="preserve">procedură disciplinară, </w:t>
            </w:r>
            <w:r w:rsidR="00097B15" w:rsidRPr="00031651">
              <w:rPr>
                <w:rFonts w:ascii="Times New Roman" w:hAnsi="Times New Roman" w:cs="Times New Roman"/>
                <w:sz w:val="24"/>
                <w:szCs w:val="24"/>
                <w:lang w:val="ro-RO"/>
              </w:rPr>
              <w:t>criterii de admisibilitate</w:t>
            </w:r>
          </w:p>
        </w:tc>
        <w:tc>
          <w:tcPr>
            <w:tcW w:w="6804" w:type="dxa"/>
          </w:tcPr>
          <w:p w14:paraId="6F920D1E" w14:textId="263BC824" w:rsidR="00220828" w:rsidRPr="00031651" w:rsidRDefault="00884668"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57</w:t>
            </w:r>
            <w:r w:rsidRPr="00031651">
              <w:rPr>
                <w:rFonts w:ascii="Times New Roman" w:hAnsi="Times New Roman" w:cs="Times New Roman"/>
                <w:sz w:val="24"/>
                <w:szCs w:val="24"/>
              </w:rPr>
              <w:t>. De asemenea, Camera a declarat inadmisibilă, ca fiind vădit nefondată, plângerea reclamantului formulată în temeiul articolului 6 § 1 din Convenție privind faptul că Curtea Constituțională nu ar fi examinat în mod corespunzător toate argumentele invocate de acesta în plângerea sa constituțională.</w:t>
            </w:r>
          </w:p>
          <w:p w14:paraId="7E4B5939" w14:textId="3A43DA4C" w:rsidR="00562953" w:rsidRPr="00031651" w:rsidRDefault="00896199" w:rsidP="00382CC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58</w:t>
            </w:r>
            <w:r w:rsidRPr="00031651">
              <w:rPr>
                <w:rFonts w:ascii="Times New Roman" w:hAnsi="Times New Roman" w:cs="Times New Roman"/>
                <w:sz w:val="24"/>
                <w:szCs w:val="24"/>
              </w:rPr>
              <w:t>. În ceea ce privește plângerea reclamantului în temeiul articolului 2 din Protocolul nr. 7, pe care Camera a reclasificat-o ca intrând sub incidența articolului 6 § 1 din Convenție, Camera a constatat o încălcare a acestuia din urmă. Mai exact, aceasta a reținut că reclamantului i-a fost refuzat dreptul la un tribunal independent și imparțial, întrucât cauza sa fusese examinată de camera disciplinară, care nu îndeplinea aceste cerințe.</w:t>
            </w:r>
          </w:p>
          <w:p w14:paraId="4DB639FD" w14:textId="01DDA81E" w:rsidR="00CF4200" w:rsidRPr="00031651" w:rsidRDefault="00BB4949"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92</w:t>
            </w:r>
            <w:r w:rsidRPr="00031651">
              <w:rPr>
                <w:rFonts w:ascii="Times New Roman" w:hAnsi="Times New Roman" w:cs="Times New Roman"/>
                <w:sz w:val="24"/>
                <w:szCs w:val="24"/>
              </w:rPr>
              <w:t>.</w:t>
            </w:r>
            <w:r w:rsidR="00EE7F37" w:rsidRPr="00031651">
              <w:rPr>
                <w:rFonts w:ascii="Times New Roman" w:hAnsi="Times New Roman" w:cs="Times New Roman"/>
                <w:sz w:val="24"/>
                <w:szCs w:val="24"/>
              </w:rPr>
              <w:t xml:space="preserve"> În prezenta cauză, în cererea sa adresată Curții, reclamantul s-a plâns în temeiul articolului 2 din Protocolul nr. 7 la Convenție de </w:t>
            </w:r>
            <w:r w:rsidR="00EE7F37" w:rsidRPr="00031651">
              <w:rPr>
                <w:rFonts w:ascii="Times New Roman" w:hAnsi="Times New Roman" w:cs="Times New Roman"/>
                <w:sz w:val="24"/>
                <w:szCs w:val="24"/>
              </w:rPr>
              <w:lastRenderedPageBreak/>
              <w:t>faptul că dreptul intern excludea căile de atac împotriva deciziilor camerei disciplinare a Curții Supreme Administrative. El nu a susținut că includerea în componența acesteia a unor membri care nu erau judecători de profesie ar fi constituit o încălcare a acestei dispoziții. El a invocat acest fapt doar pentru a argumenta că, întrucât membrii laici nu erau supuși acelorași cerințe de expertiză și independență ca judecătorii, camera disciplinară nu putea fi considerată „cel mai înalt tribunal”. Acest argument urmărea doar excluderea aplicării excepției prevăzute la articolul 2 § 2, potrivit căreia dreptul la apel nu se aplică în cauzele judecate în primă instanță de către cel mai înalt tribunal.</w:t>
            </w:r>
          </w:p>
          <w:p w14:paraId="0FD5AE3E" w14:textId="77777777" w:rsidR="00EE7F37" w:rsidRPr="00031651" w:rsidRDefault="001A43D2"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95</w:t>
            </w:r>
            <w:r w:rsidRPr="00031651">
              <w:rPr>
                <w:rFonts w:ascii="Times New Roman" w:hAnsi="Times New Roman" w:cs="Times New Roman"/>
                <w:sz w:val="24"/>
                <w:szCs w:val="24"/>
              </w:rPr>
              <w:t>. Având în vedere cele de mai sus, Curtea consideră că argumentul reclamantului privind componența instanței disciplinare nu poate fi interpretat ca ridicând o plângere potrivit căreia acea instanță nu era independentă și imparțială în sensul articolului 6 § 1 din Convenție. Dacă reclamantul ar fi dorit, în acel stadiu, să invoce o încălcare a acestor garanții prevăzute la articolul 6 § 1 din Convenție, ar fi trebuit să o facă în mod clar în formularul de cerere, la fel cum a procedat ulterior, în observațiile depuse în fața Camerei la 5 noiembrie 2015</w:t>
            </w:r>
            <w:r w:rsidR="00C61EF8" w:rsidRPr="00031651">
              <w:rPr>
                <w:rFonts w:ascii="Times New Roman" w:hAnsi="Times New Roman" w:cs="Times New Roman"/>
                <w:sz w:val="24"/>
                <w:szCs w:val="24"/>
              </w:rPr>
              <w:t>.</w:t>
            </w:r>
          </w:p>
          <w:p w14:paraId="5EC360CD" w14:textId="3FCB85B3" w:rsidR="00C61EF8" w:rsidRPr="00031651" w:rsidRDefault="008B051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130</w:t>
            </w:r>
            <w:r w:rsidRPr="00031651">
              <w:rPr>
                <w:rFonts w:ascii="Times New Roman" w:hAnsi="Times New Roman" w:cs="Times New Roman"/>
                <w:sz w:val="24"/>
                <w:szCs w:val="24"/>
              </w:rPr>
              <w:t>. Curtea consideră, mai întâi, că nicio obligație a instanței de a colecta probe din oficiu nu poate fi dedusă din articolul 6 al Convenției atunci când este vorba de latura sa civilă. O obligație pozitivă din partea autorităților de a investiga și de a colecta probe în favoarea acuzatului poate apărea numai în cadrul laturii penale a acestui articol și numai în circumstanțe foarte specifice, în care reclamanții, victime ale traficului de ființe umane, au fost urmăriți penal pentru infracțiuni legate de droguri comise în contextul traficului, iar Curtea a constatat că lipsa unei evaluări corespunzătoare a statutului lor de victime a împiedicat autoritățile să obțină probe care ar fi putut constitui un element esențial al apărării lor.</w:t>
            </w:r>
          </w:p>
          <w:p w14:paraId="1B63BD81" w14:textId="7FDC7B38" w:rsidR="008B0510" w:rsidRPr="00031651" w:rsidRDefault="002505C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131</w:t>
            </w:r>
            <w:r w:rsidRPr="00031651">
              <w:rPr>
                <w:rFonts w:ascii="Times New Roman" w:hAnsi="Times New Roman" w:cs="Times New Roman"/>
                <w:sz w:val="24"/>
                <w:szCs w:val="24"/>
              </w:rPr>
              <w:t xml:space="preserve">. Curtea reiterează, în continuare, că, deși articolul 6 garantează dreptul la un proces echitabil, el nu stabilește reguli privind </w:t>
            </w:r>
            <w:r w:rsidRPr="00031651">
              <w:rPr>
                <w:rFonts w:ascii="Times New Roman" w:hAnsi="Times New Roman" w:cs="Times New Roman"/>
                <w:sz w:val="24"/>
                <w:szCs w:val="24"/>
              </w:rPr>
              <w:lastRenderedPageBreak/>
              <w:t>admisibilitatea probelor sau modul de evaluare a acestora, acestea fiind în primul rând chestiuni reglementate de dreptul intern și de instanțele naționale. În principiu, probleme precum valoarea probantă acordată de instanțele naționale unor probe sau constatărilor ori evaluărilor care le sunt supuse spre examinare nu intră în sfera de control a Curții. Același principiu se aplică în privința greutății probelor și a sarcinii probei, Curtea nu trebuie să acționeze ca o instanță de a patra treaptă și, prin urmare, nu va pune la îndoială evaluarea probelor de către instanțele naționale în temeiul articolului 6 § 1, decât dacă concluziile acestora pot fi considerate arbitrare sau vădit nerezonabile.</w:t>
            </w:r>
          </w:p>
          <w:p w14:paraId="0F4D9D85" w14:textId="6CE208D8" w:rsidR="002505C0" w:rsidRPr="00031651" w:rsidRDefault="002505C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132</w:t>
            </w:r>
            <w:r w:rsidRPr="00031651">
              <w:rPr>
                <w:rFonts w:ascii="Times New Roman" w:hAnsi="Times New Roman" w:cs="Times New Roman"/>
                <w:sz w:val="24"/>
                <w:szCs w:val="24"/>
              </w:rPr>
              <w:t>. În prezenta cauză, Curtea consideră că modul în care instanța disciplinară a distribuit sarcina probei și a apreciat probele nu a fost nici arbitrar, nici vădit nerezonabil.</w:t>
            </w:r>
          </w:p>
        </w:tc>
        <w:tc>
          <w:tcPr>
            <w:tcW w:w="2693" w:type="dxa"/>
          </w:tcPr>
          <w:p w14:paraId="1991033C" w14:textId="79B1E81B" w:rsidR="00A9309F" w:rsidRPr="00031651" w:rsidRDefault="002520D9" w:rsidP="00A93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lang w:val="ro-RO"/>
              </w:rPr>
              <w:lastRenderedPageBreak/>
              <w:t xml:space="preserve">Art.6 </w:t>
            </w:r>
            <w:r w:rsidR="00A9309F" w:rsidRPr="00031651">
              <w:rPr>
                <w:rFonts w:ascii="Times New Roman" w:hAnsi="Times New Roman" w:cs="Times New Roman"/>
                <w:sz w:val="24"/>
                <w:szCs w:val="24"/>
              </w:rPr>
              <w:t>§ 1-inadmisibil din c</w:t>
            </w:r>
            <w:r w:rsidR="00B451E5" w:rsidRPr="00031651">
              <w:rPr>
                <w:rFonts w:ascii="Times New Roman" w:hAnsi="Times New Roman" w:cs="Times New Roman"/>
                <w:sz w:val="24"/>
                <w:szCs w:val="24"/>
              </w:rPr>
              <w:t>a</w:t>
            </w:r>
            <w:r w:rsidR="00A9309F" w:rsidRPr="00031651">
              <w:rPr>
                <w:rFonts w:ascii="Times New Roman" w:hAnsi="Times New Roman" w:cs="Times New Roman"/>
                <w:sz w:val="24"/>
                <w:szCs w:val="24"/>
              </w:rPr>
              <w:t>uza neconformării</w:t>
            </w:r>
            <w:r w:rsidR="00B451E5" w:rsidRPr="00031651">
              <w:rPr>
                <w:rFonts w:ascii="Times New Roman" w:hAnsi="Times New Roman" w:cs="Times New Roman"/>
                <w:sz w:val="24"/>
                <w:szCs w:val="24"/>
              </w:rPr>
              <w:t xml:space="preserve"> </w:t>
            </w:r>
            <w:r w:rsidR="00B1596E" w:rsidRPr="00031651">
              <w:rPr>
                <w:rFonts w:ascii="Times New Roman" w:hAnsi="Times New Roman" w:cs="Times New Roman"/>
                <w:sz w:val="24"/>
                <w:szCs w:val="24"/>
              </w:rPr>
              <w:t xml:space="preserve">cu termenul de 6 luni. </w:t>
            </w:r>
          </w:p>
          <w:p w14:paraId="4EB90202" w14:textId="77777777" w:rsidR="00B1596E" w:rsidRPr="00031651" w:rsidRDefault="00B1596E" w:rsidP="00A93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FA0C17F" w14:textId="75F105B9" w:rsidR="007C6C06" w:rsidRPr="00031651" w:rsidRDefault="007C6C06" w:rsidP="00A9309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 xml:space="preserve">Art.2 </w:t>
            </w:r>
            <w:r w:rsidR="00DD49A9" w:rsidRPr="00031651">
              <w:rPr>
                <w:rFonts w:ascii="Times New Roman" w:hAnsi="Times New Roman" w:cs="Times New Roman"/>
                <w:sz w:val="24"/>
                <w:szCs w:val="24"/>
              </w:rPr>
              <w:t xml:space="preserve">Protocolul 7- inadmisibil. </w:t>
            </w:r>
          </w:p>
        </w:tc>
      </w:tr>
      <w:tr w:rsidR="009E4369" w:rsidRPr="00031651" w14:paraId="63ADFC4C"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0C76E390" w14:textId="77777777" w:rsidR="009E4369" w:rsidRPr="00031651" w:rsidRDefault="00907B33"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lastRenderedPageBreak/>
              <w:t>10</w:t>
            </w:r>
          </w:p>
          <w:p w14:paraId="7DDEFF2B" w14:textId="77777777" w:rsidR="00E80320" w:rsidRPr="00031651" w:rsidRDefault="00E80320" w:rsidP="00B04FC2">
            <w:pPr>
              <w:jc w:val="center"/>
              <w:rPr>
                <w:rFonts w:ascii="Times New Roman" w:hAnsi="Times New Roman" w:cs="Times New Roman"/>
                <w:b w:val="0"/>
                <w:bCs w:val="0"/>
                <w:sz w:val="24"/>
                <w:szCs w:val="24"/>
                <w:lang w:val="ro-RO"/>
              </w:rPr>
            </w:pPr>
          </w:p>
          <w:p w14:paraId="0A983D32" w14:textId="77777777" w:rsidR="00E80320" w:rsidRPr="00031651" w:rsidRDefault="00E80320" w:rsidP="00B04FC2">
            <w:pPr>
              <w:jc w:val="center"/>
              <w:rPr>
                <w:rFonts w:ascii="Times New Roman" w:hAnsi="Times New Roman" w:cs="Times New Roman"/>
                <w:b w:val="0"/>
                <w:bCs w:val="0"/>
                <w:sz w:val="24"/>
                <w:szCs w:val="24"/>
                <w:lang w:val="ro-RO"/>
              </w:rPr>
            </w:pPr>
          </w:p>
          <w:p w14:paraId="2D0F77B2" w14:textId="77777777" w:rsidR="00E80320" w:rsidRPr="00031651" w:rsidRDefault="00E80320" w:rsidP="00B04FC2">
            <w:pPr>
              <w:jc w:val="center"/>
              <w:rPr>
                <w:rFonts w:ascii="Times New Roman" w:hAnsi="Times New Roman" w:cs="Times New Roman"/>
                <w:b w:val="0"/>
                <w:bCs w:val="0"/>
                <w:sz w:val="24"/>
                <w:szCs w:val="24"/>
                <w:lang w:val="ro-RO"/>
              </w:rPr>
            </w:pPr>
          </w:p>
          <w:p w14:paraId="41A471E9" w14:textId="77777777" w:rsidR="00907B33" w:rsidRPr="00031651" w:rsidRDefault="00B7018B"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t>1 P</w:t>
            </w:r>
            <w:r w:rsidR="006B0517" w:rsidRPr="00031651">
              <w:rPr>
                <w:rFonts w:ascii="Times New Roman" w:hAnsi="Times New Roman" w:cs="Times New Roman"/>
                <w:sz w:val="24"/>
                <w:szCs w:val="24"/>
                <w:lang w:val="ro-RO"/>
              </w:rPr>
              <w:t>rt.1</w:t>
            </w:r>
          </w:p>
          <w:p w14:paraId="55A2169F" w14:textId="77777777" w:rsidR="00E16EEC" w:rsidRPr="00031651" w:rsidRDefault="00E16EEC" w:rsidP="00B04FC2">
            <w:pPr>
              <w:jc w:val="center"/>
              <w:rPr>
                <w:rFonts w:ascii="Times New Roman" w:hAnsi="Times New Roman" w:cs="Times New Roman"/>
                <w:b w:val="0"/>
                <w:bCs w:val="0"/>
                <w:sz w:val="24"/>
                <w:szCs w:val="24"/>
                <w:lang w:val="ro-RO"/>
              </w:rPr>
            </w:pPr>
          </w:p>
          <w:p w14:paraId="755BF495" w14:textId="389AB0A5" w:rsidR="00E16EEC" w:rsidRPr="00031651" w:rsidRDefault="00E16EEC"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13</w:t>
            </w:r>
          </w:p>
        </w:tc>
        <w:tc>
          <w:tcPr>
            <w:tcW w:w="1525" w:type="dxa"/>
          </w:tcPr>
          <w:p w14:paraId="28074662" w14:textId="204FED7E" w:rsidR="009E4369" w:rsidRPr="00031651" w:rsidRDefault="00A9795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Audiovizual</w:t>
            </w:r>
          </w:p>
          <w:p w14:paraId="0E68B7CA" w14:textId="77777777" w:rsidR="009B1F9C" w:rsidRPr="00031651" w:rsidRDefault="009B1F9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3C2E7C5" w14:textId="236812C2" w:rsidR="009B1F9C" w:rsidRPr="00031651" w:rsidRDefault="00844A7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Apărarea proprietății </w:t>
            </w:r>
          </w:p>
        </w:tc>
        <w:tc>
          <w:tcPr>
            <w:tcW w:w="1633" w:type="dxa"/>
          </w:tcPr>
          <w:p w14:paraId="6A179247" w14:textId="60D7A2A9" w:rsidR="00E80320" w:rsidRPr="00031651" w:rsidRDefault="000F3DFC" w:rsidP="00844A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28470/12</w:t>
            </w:r>
          </w:p>
          <w:p w14:paraId="3C1FFF41" w14:textId="7A85294A" w:rsidR="000F3DFC" w:rsidRPr="00031651" w:rsidRDefault="000F3DFC" w:rsidP="00844A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05/05/2022</w:t>
            </w:r>
          </w:p>
          <w:p w14:paraId="0226FA1B" w14:textId="5504FC14" w:rsidR="002B7651" w:rsidRPr="00031651" w:rsidRDefault="002B7651" w:rsidP="00844A7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NIT SRL </w:t>
            </w:r>
            <w:r w:rsidR="006E395E">
              <w:rPr>
                <w:rFonts w:ascii="Times New Roman" w:hAnsi="Times New Roman" w:cs="Times New Roman"/>
                <w:sz w:val="24"/>
                <w:szCs w:val="24"/>
                <w:lang w:val="ro-RO"/>
              </w:rPr>
              <w:t>contra</w:t>
            </w:r>
            <w:r w:rsidRPr="00031651">
              <w:rPr>
                <w:rFonts w:ascii="Times New Roman" w:hAnsi="Times New Roman" w:cs="Times New Roman"/>
                <w:sz w:val="24"/>
                <w:szCs w:val="24"/>
                <w:lang w:val="ro-RO"/>
              </w:rPr>
              <w:t xml:space="preserve"> Republica Moldova</w:t>
            </w:r>
          </w:p>
          <w:p w14:paraId="47426348" w14:textId="77777777" w:rsidR="009E4369" w:rsidRPr="00031651" w:rsidRDefault="009E4369" w:rsidP="00844A7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58E79E84" w14:textId="589860EF" w:rsidR="009E4369" w:rsidRPr="00031651" w:rsidRDefault="0059042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166,168,169</w:t>
            </w:r>
            <w:r w:rsidR="000E3A47" w:rsidRPr="00031651">
              <w:rPr>
                <w:rFonts w:ascii="Times New Roman" w:hAnsi="Times New Roman" w:cs="Times New Roman"/>
                <w:sz w:val="24"/>
                <w:szCs w:val="24"/>
                <w:lang w:val="ro-RO"/>
              </w:rPr>
              <w:t>,</w:t>
            </w:r>
            <w:r w:rsidR="000B57ED" w:rsidRPr="00031651">
              <w:rPr>
                <w:rFonts w:ascii="Times New Roman" w:hAnsi="Times New Roman" w:cs="Times New Roman"/>
                <w:sz w:val="24"/>
                <w:szCs w:val="24"/>
                <w:lang w:val="ro-RO"/>
              </w:rPr>
              <w:t>172,</w:t>
            </w:r>
            <w:r w:rsidR="00A9795B" w:rsidRPr="00031651">
              <w:rPr>
                <w:rFonts w:ascii="Times New Roman" w:hAnsi="Times New Roman" w:cs="Times New Roman"/>
                <w:sz w:val="24"/>
                <w:szCs w:val="24"/>
                <w:lang w:val="ro-RO"/>
              </w:rPr>
              <w:t>184,185,</w:t>
            </w:r>
            <w:r w:rsidR="00F653B9" w:rsidRPr="00031651">
              <w:rPr>
                <w:rFonts w:ascii="Times New Roman" w:hAnsi="Times New Roman" w:cs="Times New Roman"/>
                <w:sz w:val="24"/>
                <w:szCs w:val="24"/>
                <w:lang w:val="ro-RO"/>
              </w:rPr>
              <w:t>186,</w:t>
            </w:r>
            <w:r w:rsidR="007072C9" w:rsidRPr="00031651">
              <w:rPr>
                <w:rFonts w:ascii="Times New Roman" w:hAnsi="Times New Roman" w:cs="Times New Roman"/>
                <w:sz w:val="24"/>
                <w:szCs w:val="24"/>
                <w:lang w:val="ro-RO"/>
              </w:rPr>
              <w:t>192,194</w:t>
            </w:r>
            <w:r w:rsidR="00DE35C6" w:rsidRPr="00031651">
              <w:rPr>
                <w:rFonts w:ascii="Times New Roman" w:hAnsi="Times New Roman" w:cs="Times New Roman"/>
                <w:sz w:val="24"/>
                <w:szCs w:val="24"/>
                <w:lang w:val="ro-RO"/>
              </w:rPr>
              <w:t>,222,223,</w:t>
            </w:r>
            <w:r w:rsidR="001444B5" w:rsidRPr="00031651">
              <w:rPr>
                <w:rFonts w:ascii="Times New Roman" w:hAnsi="Times New Roman" w:cs="Times New Roman"/>
                <w:sz w:val="24"/>
                <w:szCs w:val="24"/>
                <w:lang w:val="ro-RO"/>
              </w:rPr>
              <w:t>224,229,230</w:t>
            </w:r>
          </w:p>
        </w:tc>
        <w:tc>
          <w:tcPr>
            <w:tcW w:w="1559" w:type="dxa"/>
          </w:tcPr>
          <w:p w14:paraId="4FB9BA9F" w14:textId="77777777" w:rsidR="00F9351A" w:rsidRPr="00031651" w:rsidRDefault="006A21D7"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Licența audiovizual,</w:t>
            </w:r>
          </w:p>
          <w:p w14:paraId="69FB7E11" w14:textId="77777777" w:rsidR="00F9351A" w:rsidRPr="00031651" w:rsidRDefault="00F9351A"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discriminare,</w:t>
            </w:r>
          </w:p>
          <w:p w14:paraId="48B9143B" w14:textId="58EC5C6E" w:rsidR="009E4369" w:rsidRPr="00031651" w:rsidRDefault="008C0201"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revocarea licenței, </w:t>
            </w:r>
            <w:r w:rsidR="00285B9C" w:rsidRPr="00031651">
              <w:rPr>
                <w:rFonts w:ascii="Times New Roman" w:hAnsi="Times New Roman" w:cs="Times New Roman"/>
                <w:sz w:val="24"/>
                <w:szCs w:val="24"/>
                <w:lang w:val="ro-RO"/>
              </w:rPr>
              <w:t>proteste</w:t>
            </w:r>
            <w:r w:rsidR="003A659A" w:rsidRPr="00031651">
              <w:rPr>
                <w:rFonts w:ascii="Times New Roman" w:hAnsi="Times New Roman" w:cs="Times New Roman"/>
                <w:sz w:val="24"/>
                <w:szCs w:val="24"/>
                <w:lang w:val="ro-RO"/>
              </w:rPr>
              <w:t xml:space="preserve">, pluralitate de </w:t>
            </w:r>
            <w:r w:rsidR="006E395E" w:rsidRPr="00031651">
              <w:rPr>
                <w:rFonts w:ascii="Times New Roman" w:hAnsi="Times New Roman" w:cs="Times New Roman"/>
                <w:sz w:val="24"/>
                <w:szCs w:val="24"/>
                <w:lang w:val="ro-RO"/>
              </w:rPr>
              <w:t>opinii</w:t>
            </w:r>
          </w:p>
        </w:tc>
        <w:tc>
          <w:tcPr>
            <w:tcW w:w="6804" w:type="dxa"/>
          </w:tcPr>
          <w:p w14:paraId="0ADC7BBB" w14:textId="45BFF0F4" w:rsidR="002B236E" w:rsidRPr="00031651" w:rsidRDefault="0032374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166</w:t>
            </w:r>
            <w:r w:rsidRPr="00031651">
              <w:rPr>
                <w:rFonts w:ascii="Times New Roman" w:hAnsi="Times New Roman" w:cs="Times New Roman"/>
                <w:sz w:val="24"/>
                <w:szCs w:val="24"/>
              </w:rPr>
              <w:t>. Curtea este de părere că Codul nu lipsea de precizia necesară pentru a-i permite postului NIT să își regleze conduita. Aceasta nu consideră nerezonabil, în circumstanțe în care autoritățile naționale au o anumită marjă de apreciere în asemenea chestiuni, ca un radiodifuzor profesionist, precum NIT, să fie considerat obligat să acționeze cu precauție în desfășurarea activității sale profesionale și să manifeste o atenție sporită în evaluarea riscurilor inerente activității sale, precum și în atenuarea acestora după aplicarea unei sancțiuni.</w:t>
            </w:r>
          </w:p>
          <w:p w14:paraId="44AABC20" w14:textId="77777777" w:rsidR="00590421" w:rsidRPr="00031651" w:rsidRDefault="00F10DD9"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168</w:t>
            </w:r>
            <w:r w:rsidRPr="00031651">
              <w:rPr>
                <w:rFonts w:ascii="Times New Roman" w:hAnsi="Times New Roman" w:cs="Times New Roman"/>
                <w:sz w:val="24"/>
                <w:szCs w:val="24"/>
              </w:rPr>
              <w:t xml:space="preserve">. Curtea nu este nici convinsă de afirmațiile societății reclamante potrivit cărora legislația națională pertinentă ar fi interzis CCA-ului (ACC) să pună în executare imediat o sancțiune fără a aștepta soluționarea definitivă a contestației în instanță și să aplice o nouă sancțiune înainte ca instanțele naționale să se fi pronunțat prin hotărâre definitivă asupra legalității sancțiunii precedente, sau potrivit cărora legislația ar fi impus instanțelor obligația de a dispune măsuri provizorii până la soluționarea contestațiilor împotriva sancțiunilor. </w:t>
            </w:r>
          </w:p>
          <w:p w14:paraId="0590A4D4" w14:textId="70DC0B4F" w:rsidR="0032374F" w:rsidRPr="00031651" w:rsidRDefault="00F10DD9"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 xml:space="preserve">În acest sens, Curtea observă că nu se poate afirma că fie Codul, fie Legea contenciosului administrativ ar cuprinde dispoziții care să </w:t>
            </w:r>
            <w:r w:rsidRPr="00031651">
              <w:rPr>
                <w:rFonts w:ascii="Times New Roman" w:hAnsi="Times New Roman" w:cs="Times New Roman"/>
                <w:sz w:val="24"/>
                <w:szCs w:val="24"/>
              </w:rPr>
              <w:lastRenderedPageBreak/>
              <w:t>confirme expres afirmațiile societății reclamante. Ea reține că, în timp ce articolul 38 § 10 din Cod prevedea că o decizie a ACC de aplicare a unei sancțiuni care nu este contestată în termen constituie titlu executoriu, articolul 40 § 3 din Cod prevedea că deciziile ACC intră în vigoare la data publicării lor în Monitorul Oficial al Republicii Moldova. Curtea observă în continuare că articolul 21 din Legea contenciosului administrativ prevedea o cale de atac pentru solicitarea suspendării executării unui act administrativ și conferă instanțelor competența de a dispune o asemenea suspendare. De fapt, acest lucru pare să contrazică argumentul societății reclamante potrivit căruia decizia ACC nu putea fi pusă în executare imediat sau că instanțele aveau obligația legală de a acorda măsuri provizorii.</w:t>
            </w:r>
          </w:p>
          <w:p w14:paraId="6572BD7E" w14:textId="696E2FE4" w:rsidR="00F10DD9" w:rsidRPr="00031651" w:rsidRDefault="0074368A"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169</w:t>
            </w:r>
            <w:r w:rsidRPr="00031651">
              <w:rPr>
                <w:rFonts w:ascii="Times New Roman" w:hAnsi="Times New Roman" w:cs="Times New Roman"/>
                <w:sz w:val="24"/>
                <w:szCs w:val="24"/>
              </w:rPr>
              <w:t>. În orice caz, Curtea observă că rezultă din probele disponibile că autoritățile naționale, inclusiv instanțele, au fost consecvente în interpretarea și aplicarea legislației relevante în vigoare la 5 aprilie 2012, în sensul că deciziile CCA (ACC) erau executabile imediat după publicarea lor în Monitorul Oficial. Ținând seama de rolul ei limitat în raport cu cel al autorităților și instanțelor naționale în ceea ce privește interpretarea și aplicarea dreptului intern, Curtea nu vede niciun motiv să pună la îndoială respingerea de către acestea a argumentului societății reclamante întemeiat pe Legea privind reglementarea activității de întreprinzător. Mai mult, reiese că ACC putea aplica o sancțiune ulterioară înainte ca instanțele naționale să se fi pronunțat prin hotărâre definitivă asupra legalității sancțiunii precedente, iar instanțele aveau o marjă de apreciere în acordarea măsurilor provizorii pe durata examinării contestațiilor împotriva sancțiunilor</w:t>
            </w:r>
            <w:r w:rsidR="00F60DED" w:rsidRPr="00031651">
              <w:rPr>
                <w:rFonts w:ascii="Times New Roman" w:hAnsi="Times New Roman" w:cs="Times New Roman"/>
                <w:sz w:val="24"/>
                <w:szCs w:val="24"/>
              </w:rPr>
              <w:t xml:space="preserve">. </w:t>
            </w:r>
            <w:r w:rsidRPr="00031651">
              <w:rPr>
                <w:rFonts w:ascii="Times New Roman" w:hAnsi="Times New Roman" w:cs="Times New Roman"/>
                <w:sz w:val="24"/>
                <w:szCs w:val="24"/>
              </w:rPr>
              <w:t>În plus, se pare că cel puțin din noiembrie 2010 societatea reclamantă era sau ar fi trebuit să fie conștientă de faptul că autoritățile interpretau legea și o aplicau în practică astfel încât să susțină executarea imediată a deciziilor ACC după publicare, precum și marja de apreciere a instanțelor în acordarea măsurilor provizorii în acest sens.</w:t>
            </w:r>
          </w:p>
          <w:p w14:paraId="5C56523F" w14:textId="1AC32805" w:rsidR="0074368A" w:rsidRPr="00031651" w:rsidRDefault="00672A0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172</w:t>
            </w:r>
            <w:r w:rsidRPr="00031651">
              <w:rPr>
                <w:rFonts w:ascii="Times New Roman" w:hAnsi="Times New Roman" w:cs="Times New Roman"/>
                <w:sz w:val="24"/>
                <w:szCs w:val="24"/>
              </w:rPr>
              <w:t xml:space="preserve">. </w:t>
            </w:r>
            <w:r w:rsidR="000B57ED" w:rsidRPr="00031651">
              <w:rPr>
                <w:rFonts w:ascii="Times New Roman" w:hAnsi="Times New Roman" w:cs="Times New Roman"/>
                <w:sz w:val="24"/>
                <w:szCs w:val="24"/>
              </w:rPr>
              <w:t>Curtea a constatat că i</w:t>
            </w:r>
            <w:r w:rsidR="00D72BCB" w:rsidRPr="00031651">
              <w:rPr>
                <w:rFonts w:ascii="Times New Roman" w:hAnsi="Times New Roman" w:cs="Times New Roman"/>
                <w:sz w:val="24"/>
                <w:szCs w:val="24"/>
              </w:rPr>
              <w:t xml:space="preserve">nterferențele impuse au fost potrivit </w:t>
            </w:r>
            <w:r w:rsidR="00D72BCB" w:rsidRPr="00031651">
              <w:rPr>
                <w:rFonts w:ascii="Times New Roman" w:hAnsi="Times New Roman" w:cs="Times New Roman"/>
                <w:sz w:val="24"/>
                <w:szCs w:val="24"/>
              </w:rPr>
              <w:lastRenderedPageBreak/>
              <w:t xml:space="preserve">legislației. </w:t>
            </w:r>
          </w:p>
          <w:p w14:paraId="51577604" w14:textId="3DF5A5FC" w:rsidR="00711CEE" w:rsidRPr="00031651" w:rsidRDefault="00711CEE"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184</w:t>
            </w:r>
            <w:r w:rsidRPr="00031651">
              <w:rPr>
                <w:rFonts w:ascii="Times New Roman" w:hAnsi="Times New Roman" w:cs="Times New Roman"/>
                <w:sz w:val="24"/>
                <w:szCs w:val="24"/>
              </w:rPr>
              <w:t>. Curtea subliniază că rolul particular al presei de a transmite informații și idei cu privire la probleme politice și la alte subiecte de interes public, pe care publicul este, de altfel, îndreptățit să le primească, nu poate fi realizat cu succes decât dacă este fundamentat pe principiul pluralismului, al cărui garant final este statul</w:t>
            </w:r>
            <w:r w:rsidR="00A9795B" w:rsidRPr="00031651">
              <w:rPr>
                <w:rFonts w:ascii="Times New Roman" w:hAnsi="Times New Roman" w:cs="Times New Roman"/>
                <w:sz w:val="24"/>
                <w:szCs w:val="24"/>
              </w:rPr>
              <w:t xml:space="preserve">. </w:t>
            </w:r>
            <w:r w:rsidRPr="00031651">
              <w:rPr>
                <w:rFonts w:ascii="Times New Roman" w:hAnsi="Times New Roman" w:cs="Times New Roman"/>
                <w:sz w:val="24"/>
                <w:szCs w:val="24"/>
              </w:rPr>
              <w:t>Un monopol public este acela care impune cele mai puternice restricții asupra libertății de exprimare, și anume imposibilitatea totală de a difuza altfel decât printr-un post național și, în unele cazuri, doar într-o măsură foarte limitată printr-un post local de cablu. Caracterul extins al unor asemenea restricții înseamnă că ele pot fi justificate numai atunci când corespund unei nevoi imperioase.</w:t>
            </w:r>
          </w:p>
          <w:p w14:paraId="1C27405E" w14:textId="1DFBEAF3" w:rsidR="00711CEE" w:rsidRPr="00031651" w:rsidRDefault="00FF6B0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185</w:t>
            </w:r>
            <w:r w:rsidRPr="00031651">
              <w:rPr>
                <w:rFonts w:ascii="Times New Roman" w:hAnsi="Times New Roman" w:cs="Times New Roman"/>
                <w:sz w:val="24"/>
                <w:szCs w:val="24"/>
              </w:rPr>
              <w:t>. Curtea reiterează că nu poate exista democrație fără pluralism. Democrația prosperă prin libertatea de exprimare. Esența democrației constă în a permite formularea și dezbaterea unor programe politice diverse, chiar și a celor care pun în discuție modul actual de organizare a statului, cu condiția ca acestea să nu afecteze democrația. Pentru a asigura un pluralism autentic în sectorul audiovizual într-o societate democratică, nu este suficientă simpla existență a mai multor posturi sau posibilitatea teoretică pentru operatorii potențiali de a accede pe piața audiovizuală. Este necesar, în plus, să se asigure acces efectiv pe piață, pentru a garanta diversitatea conținutului general al programelor, reflectând, pe cât posibil, varietatea opiniilor existente în societatea căreia i se adresează programele</w:t>
            </w:r>
            <w:r w:rsidR="00A9795B" w:rsidRPr="00031651">
              <w:rPr>
                <w:rFonts w:ascii="Times New Roman" w:hAnsi="Times New Roman" w:cs="Times New Roman"/>
                <w:sz w:val="24"/>
                <w:szCs w:val="24"/>
              </w:rPr>
              <w:t>.</w:t>
            </w:r>
          </w:p>
          <w:p w14:paraId="42BF9684" w14:textId="1A3B7611" w:rsidR="00FF6B0F" w:rsidRPr="00031651" w:rsidRDefault="00FF6B0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186</w:t>
            </w:r>
            <w:r w:rsidRPr="00031651">
              <w:rPr>
                <w:rFonts w:ascii="Times New Roman" w:hAnsi="Times New Roman" w:cs="Times New Roman"/>
                <w:sz w:val="24"/>
                <w:szCs w:val="24"/>
              </w:rPr>
              <w:t>. Având în vedere impactul puternic al mijloacelor audiovizuale</w:t>
            </w:r>
            <w:r w:rsidR="00A9795B" w:rsidRPr="00031651">
              <w:rPr>
                <w:rFonts w:ascii="Times New Roman" w:hAnsi="Times New Roman" w:cs="Times New Roman"/>
                <w:sz w:val="24"/>
                <w:szCs w:val="24"/>
              </w:rPr>
              <w:t xml:space="preserve">, </w:t>
            </w:r>
            <w:r w:rsidRPr="00031651">
              <w:rPr>
                <w:rFonts w:ascii="Times New Roman" w:hAnsi="Times New Roman" w:cs="Times New Roman"/>
                <w:sz w:val="24"/>
                <w:szCs w:val="24"/>
              </w:rPr>
              <w:t xml:space="preserve">Curtea reiterează că o situație în care unui grup economic sau politic important din societate i se permite să obțină o poziție dominantă asupra mijloacelor audiovizuale și, prin urmare, să exercite presiune asupra radiodifuzorilor și, în cele din urmă, să le limiteze libertatea editorială, subminează rolul fundamental al libertății de exprimare într-o societate democratică. Într-un domeniu atât de sensibil precum cel audiovizual, pe lângă obligația negativă de </w:t>
            </w:r>
            <w:r w:rsidRPr="00031651">
              <w:rPr>
                <w:rFonts w:ascii="Times New Roman" w:hAnsi="Times New Roman" w:cs="Times New Roman"/>
                <w:sz w:val="24"/>
                <w:szCs w:val="24"/>
              </w:rPr>
              <w:lastRenderedPageBreak/>
              <w:t>neintervenție, statul are obligația pozitivă de a institui un cadru legislativ și administrativ adecvat pentru a garanta pluralismul efectiv. Această cerință este cu atât mai relevantă atunci când sistemul audiovizual național este caracterizat de un duopol. Statele membre trebuie să adapteze cadrele de reglementare existente, în special în ceea ce privește proprietatea asupra mass-media, și să adopte orice măsuri de reglementare și financiare necesare pentru a garanta transparența mediatică și pluralismul structural, precum și diversitatea conținutului distribuit.</w:t>
            </w:r>
          </w:p>
          <w:p w14:paraId="2AD77787" w14:textId="3C08145E" w:rsidR="00EA05E9" w:rsidRPr="00031651" w:rsidRDefault="00EA05E9" w:rsidP="00EA05E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192</w:t>
            </w:r>
            <w:r w:rsidRPr="00031651">
              <w:rPr>
                <w:rFonts w:ascii="Times New Roman" w:hAnsi="Times New Roman" w:cs="Times New Roman"/>
                <w:sz w:val="24"/>
                <w:szCs w:val="24"/>
              </w:rPr>
              <w:t>. În acest sens, Curtea a recunoscut deja că, într-un domeniu atât de sensibil precum cel al audiovizualului, statul are obligația pozitivă de a institui un cadru legislativ și administrativ adecvat pentru a garanta un pluralism efectiv real</w:t>
            </w:r>
            <w:r w:rsidR="007072C9" w:rsidRPr="00031651">
              <w:rPr>
                <w:rFonts w:ascii="Times New Roman" w:hAnsi="Times New Roman" w:cs="Times New Roman"/>
                <w:sz w:val="24"/>
                <w:szCs w:val="24"/>
              </w:rPr>
              <w:t xml:space="preserve">. </w:t>
            </w:r>
            <w:r w:rsidRPr="00031651">
              <w:rPr>
                <w:rFonts w:ascii="Times New Roman" w:hAnsi="Times New Roman" w:cs="Times New Roman"/>
                <w:sz w:val="24"/>
                <w:szCs w:val="24"/>
              </w:rPr>
              <w:t>De asemenea, aceasta a constatat că, în ceea ce privește radiodifuziunea audiovizuală, statele au obligația de a asigura, în primul rând, că publicului i se oferă acces, prin intermediul televiziunii, la informații imparțiale și exacte și la o diversitate de opinii și comentarii, reflectând, printre altele, diversitatea opiniilor politice din țară și, în al doilea rând, că jurnaliștii și alți profesioniști care activează în mass-media audiovizuală nu sunt împiedicați să transmită astfel de informații și comentarii. Întrucât alegerea mijloacelor prin care se urmărește atingerea acestor obiective va varia în funcție de condițiile locale, aceasta intră, așadar, în marja de apreciere a statului.</w:t>
            </w:r>
          </w:p>
          <w:p w14:paraId="6F4AE0BA" w14:textId="77777777" w:rsidR="00EA05E9" w:rsidRPr="00031651" w:rsidRDefault="005C45E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lang w:val="ro-RO"/>
              </w:rPr>
              <w:t>194</w:t>
            </w:r>
            <w:r w:rsidRPr="00031651">
              <w:rPr>
                <w:rFonts w:ascii="Times New Roman" w:hAnsi="Times New Roman" w:cs="Times New Roman"/>
                <w:sz w:val="24"/>
                <w:szCs w:val="24"/>
                <w:lang w:val="ro-RO"/>
              </w:rPr>
              <w:t xml:space="preserve">. </w:t>
            </w:r>
            <w:r w:rsidRPr="00031651">
              <w:rPr>
                <w:rFonts w:ascii="Times New Roman" w:hAnsi="Times New Roman" w:cs="Times New Roman"/>
                <w:sz w:val="24"/>
                <w:szCs w:val="24"/>
              </w:rPr>
              <w:t>Curtea trebuie să fie convinsă că conținutul normelor juridice naționale relevante și aplicarea acestora în circumstanțele concrete ale unei anumite cauze, privite în ansamblu, au produs efecte compatibile cu garanțiile prevăzute de articolul 10 și au fost însoțite de garanții efective împotriva arbitrariului și abuzului.</w:t>
            </w:r>
          </w:p>
          <w:p w14:paraId="58E44D7A" w14:textId="68B749DA" w:rsidR="000C41C9" w:rsidRPr="00031651" w:rsidRDefault="000D3C8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lang w:val="ro-RO"/>
              </w:rPr>
              <w:t>222</w:t>
            </w:r>
            <w:r w:rsidRPr="00031651">
              <w:rPr>
                <w:rFonts w:ascii="Times New Roman" w:hAnsi="Times New Roman" w:cs="Times New Roman"/>
                <w:sz w:val="24"/>
                <w:szCs w:val="24"/>
                <w:lang w:val="ro-RO"/>
              </w:rPr>
              <w:t xml:space="preserve">. </w:t>
            </w:r>
            <w:r w:rsidR="00AC35F8" w:rsidRPr="00031651">
              <w:rPr>
                <w:rFonts w:ascii="Times New Roman" w:hAnsi="Times New Roman" w:cs="Times New Roman"/>
                <w:sz w:val="24"/>
                <w:szCs w:val="24"/>
              </w:rPr>
              <w:t xml:space="preserve">În măsura în care societatea reclamantă a susținut că decizia de revocare adoptată de ACC a fost motivată politic, Curtea a luat act de accentul pus de societatea reclamantă pe faptul că majoritatea sancțiunilor impuse NIT în temeiul Codului au avut loc între 2009 și 2011, așadar după schimbarea partidelor aflate la guvernare. Curtea observă că, la acel moment, NIT devenise o platformă de critică la </w:t>
            </w:r>
            <w:r w:rsidR="00AC35F8" w:rsidRPr="00031651">
              <w:rPr>
                <w:rFonts w:ascii="Times New Roman" w:hAnsi="Times New Roman" w:cs="Times New Roman"/>
                <w:sz w:val="24"/>
                <w:szCs w:val="24"/>
              </w:rPr>
              <w:lastRenderedPageBreak/>
              <w:t xml:space="preserve">adresa forțelor guvernamentale și de promovare a partidului de opoziție. În lumina celor de mai sus și având în vedere severitatea sancțiunii impuse societății reclamante, Curtea trebuie să efectueze un control strict pentru a verifica dacă Codul și aplicarea acestuia în circumstanțele concrete au oferit garanții efective împotriva arbitrariului și abuzului. În această privință, Curtea reamintește mai întâi concluziile sale de mai sus, conform cărora Codul conținea norme detaliate privind structura ACC și selecția, numirea și funcționarea membrilor săi, concepute pentru a asigura independența acestui organism de reglementare a mass-mediei și pentru a garanta protecția împotriva influenței nejustificate a guvernului. De asemenea, ca rezultat al regulii privind mandatele eșalonate ale membrilor ACC, șase dintre cei nouă membri care formau ACC în 2012 fuseseră numiți înainte de schimbarea guvernului în 2009. Curtea mai observă că afirmațiile societății reclamante potrivit cărora, la adoptarea deciziei de revocare, ACC ar fi fost influențată de lideri politici și ar fi tratat-o în mod discriminatoriu, au fost examinate în mod corespunzător de instanțele naționale. Curtea de Apel a respins acuzația de influență politică ca nefiind probată și a respins argumentul NIT privind discriminarea, reținând că postul fusese monitorizat în același timp și în aceleași condiții ca alți radiodifuzori, și că și alți radiodifuzori fuseseră sancționați atunci când se constatase încălcarea Codului. În această privință, Curtea consideră neconvingător argumentul societății reclamante potrivit căruia unii politicieni de rang înalt ar fi făcut declarații publice solicitând închiderea postului. Deși nu poate fi exclus faptul că astfel de declarații ar putea avea un anumit impact, acesta nu poate fi considerat, în sine, un indiciu suficient de concret și puternic că ACC nu ar fi acționat independent la adoptarea măsurii contestate din prezenta cauză. În concluzie, Curtea nu poate să nu constate că nu a fost prezentată nicio probă concretă în cadrul procedurilor în fața instanțelor naționale, și, la rândul său, în fața Curții, care să susțină afirmația că ACC ar fi urmărit să împiedice canalul de televiziune al societății reclamante </w:t>
            </w:r>
            <w:r w:rsidR="00AC35F8" w:rsidRPr="00031651">
              <w:rPr>
                <w:rFonts w:ascii="Times New Roman" w:hAnsi="Times New Roman" w:cs="Times New Roman"/>
                <w:sz w:val="24"/>
                <w:szCs w:val="24"/>
              </w:rPr>
              <w:lastRenderedPageBreak/>
              <w:t>să exprime opinii critice la adresa guvernului sau ar fi urmărit orice alt scop ulterior la revocarea licenței.</w:t>
            </w:r>
          </w:p>
          <w:p w14:paraId="05AACB4F" w14:textId="1D5CCA9F" w:rsidR="00592E22" w:rsidRPr="00031651" w:rsidRDefault="00592E22"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223</w:t>
            </w:r>
            <w:r w:rsidRPr="00031651">
              <w:rPr>
                <w:rFonts w:ascii="Times New Roman" w:hAnsi="Times New Roman" w:cs="Times New Roman"/>
                <w:sz w:val="24"/>
                <w:szCs w:val="24"/>
              </w:rPr>
              <w:t xml:space="preserve">. </w:t>
            </w:r>
            <w:r w:rsidR="00E00B97" w:rsidRPr="00031651">
              <w:rPr>
                <w:rFonts w:ascii="Times New Roman" w:hAnsi="Times New Roman" w:cs="Times New Roman"/>
                <w:sz w:val="24"/>
                <w:szCs w:val="24"/>
              </w:rPr>
              <w:t>În contextul proporționalității sancțiunilor, Curtea conside</w:t>
            </w:r>
            <w:r w:rsidR="00D6700A" w:rsidRPr="00031651">
              <w:rPr>
                <w:rFonts w:ascii="Times New Roman" w:hAnsi="Times New Roman" w:cs="Times New Roman"/>
                <w:sz w:val="24"/>
                <w:szCs w:val="24"/>
              </w:rPr>
              <w:t xml:space="preserve">ră ca aceasta nu a împiedicat NIT să folosească alte platforme. </w:t>
            </w:r>
            <w:r w:rsidR="00953337" w:rsidRPr="00031651">
              <w:rPr>
                <w:rFonts w:ascii="Times New Roman" w:hAnsi="Times New Roman" w:cs="Times New Roman"/>
                <w:sz w:val="24"/>
                <w:szCs w:val="24"/>
              </w:rPr>
              <w:t>De altfel, societatea reclamantă a confirmat în observațiile sale adresate Curții că a continuat să distribuie conținut prin intermediul paginii sale de Internet și al canalului său de YouTube până în anul 2014. Mai mult, măsura contestată nu a avut un efect permanent, întrucât societatea reclamantă ar fi putut solicita din nou o licență de emisie la un an după revocarea licenței sale</w:t>
            </w:r>
            <w:r w:rsidR="00AF43F8" w:rsidRPr="00031651">
              <w:rPr>
                <w:rFonts w:ascii="Times New Roman" w:hAnsi="Times New Roman" w:cs="Times New Roman"/>
                <w:sz w:val="24"/>
                <w:szCs w:val="24"/>
              </w:rPr>
              <w:t>.</w:t>
            </w:r>
          </w:p>
          <w:p w14:paraId="3A25C269" w14:textId="55D8E2B9" w:rsidR="00AF43F8" w:rsidRPr="00031651" w:rsidRDefault="00AF43F8"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224</w:t>
            </w:r>
            <w:r w:rsidRPr="00031651">
              <w:rPr>
                <w:rFonts w:ascii="Times New Roman" w:hAnsi="Times New Roman" w:cs="Times New Roman"/>
                <w:sz w:val="24"/>
                <w:szCs w:val="24"/>
              </w:rPr>
              <w:t xml:space="preserve">. </w:t>
            </w:r>
            <w:r w:rsidR="001444B5" w:rsidRPr="00031651">
              <w:rPr>
                <w:rFonts w:ascii="Times New Roman" w:hAnsi="Times New Roman" w:cs="Times New Roman"/>
                <w:sz w:val="24"/>
                <w:szCs w:val="24"/>
              </w:rPr>
              <w:t>Curtea con</w:t>
            </w:r>
            <w:r w:rsidR="00573DD4" w:rsidRPr="00031651">
              <w:rPr>
                <w:rFonts w:ascii="Times New Roman" w:hAnsi="Times New Roman" w:cs="Times New Roman"/>
                <w:sz w:val="24"/>
                <w:szCs w:val="24"/>
              </w:rPr>
              <w:t>stată că c</w:t>
            </w:r>
            <w:r w:rsidR="00F26F0A" w:rsidRPr="00031651">
              <w:rPr>
                <w:rFonts w:ascii="Times New Roman" w:hAnsi="Times New Roman" w:cs="Times New Roman"/>
                <w:sz w:val="24"/>
                <w:szCs w:val="24"/>
              </w:rPr>
              <w:t>onsiderațiile de mai sus par să susțină argumentul Guvernului potrivit căruia, înainte de a revoca licența, autoritățile naționale au acționat în limitele legislației existente pentru a constrânge NIT să respecte normele relevante. Astfel, gravitatea acțiunilor imputate postului de televiziune al societății reclamante pare să fi constat nu doar în persistența sa în a refuza să respecte cerințele privind pluralismul intern, ci și în natura și acumularea încălcărilor, precum și în gravitatea lor, privite în ansamblu. Faptul că, după ce a primit unsprezece sancțiuni pe o perioadă de trei ani pentru aceleași tipuri de încălcări sau pentru încălcări similare, NIT nu a fost determinat să își schimbe comportamentul și să respecte Codul, a îndreptățit autoritățile să considere că aplicarea celei mai severe sancțiuni era justificată de atitudinea de sfidare a societății reclamante.</w:t>
            </w:r>
          </w:p>
          <w:p w14:paraId="598AD670" w14:textId="11C3C16B" w:rsidR="00F26F0A" w:rsidRPr="00031651" w:rsidRDefault="00781738"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229</w:t>
            </w:r>
            <w:r w:rsidRPr="00031651">
              <w:rPr>
                <w:rFonts w:ascii="Times New Roman" w:hAnsi="Times New Roman" w:cs="Times New Roman"/>
                <w:sz w:val="24"/>
                <w:szCs w:val="24"/>
              </w:rPr>
              <w:t>. Ținând cont de toate circumstanțele menționate mai sus și având în vedere, în special, contextul național al cauzei, Curtea este mulțumită că decizia de a restrânge libertatea de exprimare a societății reclamante a fost susținută de motive pertinente și suficiente în sensul testului „necesității” prevăzut de articolul 10 § 2 din Convenție și că autoritățile naționale au acționat în limitele marjei lor de apreciere pentru a obține un raport rezonabil de proporționalitate între necesitatea de a proteja pluralismul și drepturile altora, pe de o parte, și necesitatea de a proteja dreptul societății reclamante la libertatea de exprimare, pe de altă parte.</w:t>
            </w:r>
          </w:p>
          <w:p w14:paraId="7F49F2F2" w14:textId="16C26949" w:rsidR="00781738" w:rsidRPr="00031651" w:rsidRDefault="00781738"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rPr>
              <w:lastRenderedPageBreak/>
              <w:t>230</w:t>
            </w:r>
            <w:r w:rsidRPr="00031651">
              <w:rPr>
                <w:rFonts w:ascii="Times New Roman" w:hAnsi="Times New Roman" w:cs="Times New Roman"/>
                <w:sz w:val="24"/>
                <w:szCs w:val="24"/>
              </w:rPr>
              <w:t xml:space="preserve">. </w:t>
            </w:r>
            <w:r w:rsidR="00205782" w:rsidRPr="00031651">
              <w:rPr>
                <w:rFonts w:ascii="Times New Roman" w:hAnsi="Times New Roman" w:cs="Times New Roman"/>
                <w:sz w:val="24"/>
                <w:szCs w:val="24"/>
              </w:rPr>
              <w:t>Ingerința a fost, așadar, „necesară într-o societate democratică”, în sensul articolului 10 din Convenție. Prin urmare, nu a existat nicio încălcare a acestui articol în prezenta cauză.</w:t>
            </w:r>
          </w:p>
        </w:tc>
        <w:tc>
          <w:tcPr>
            <w:tcW w:w="2693" w:type="dxa"/>
          </w:tcPr>
          <w:p w14:paraId="53647002" w14:textId="77777777" w:rsidR="009E4369" w:rsidRPr="00031651" w:rsidRDefault="000D710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Neviolare art.10 </w:t>
            </w:r>
          </w:p>
          <w:p w14:paraId="7C2AD58A" w14:textId="77777777" w:rsidR="00742532" w:rsidRPr="00031651" w:rsidRDefault="0074253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3166F3F" w14:textId="77777777" w:rsidR="000D7102" w:rsidRPr="00031651" w:rsidRDefault="0027753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Neviolare art.1 Protocolul 1 </w:t>
            </w:r>
          </w:p>
          <w:p w14:paraId="62431268" w14:textId="77777777" w:rsidR="00277534" w:rsidRPr="00031651" w:rsidRDefault="0027753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2FA341C" w14:textId="27454478" w:rsidR="00277534" w:rsidRPr="00031651" w:rsidRDefault="003C612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Nu necesită examinarea separată a art.13 </w:t>
            </w:r>
          </w:p>
        </w:tc>
      </w:tr>
      <w:tr w:rsidR="009E4369" w:rsidRPr="00031651" w14:paraId="16091743"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4EDD2F85" w14:textId="4E090B09" w:rsidR="00CB1ED4" w:rsidRPr="00031651" w:rsidRDefault="005A300E" w:rsidP="005A300E">
            <w:pPr>
              <w:jc w:val="center"/>
              <w:rPr>
                <w:rFonts w:ascii="Times New Roman" w:hAnsi="Times New Roman" w:cs="Times New Roman"/>
                <w:b w:val="0"/>
                <w:bCs w:val="0"/>
                <w:sz w:val="24"/>
                <w:szCs w:val="24"/>
              </w:rPr>
            </w:pPr>
            <w:r w:rsidRPr="00031651">
              <w:rPr>
                <w:rFonts w:ascii="Times New Roman" w:hAnsi="Times New Roman" w:cs="Times New Roman"/>
                <w:sz w:val="24"/>
                <w:szCs w:val="24"/>
                <w:lang w:val="ro-RO"/>
              </w:rPr>
              <w:lastRenderedPageBreak/>
              <w:t xml:space="preserve">6 </w:t>
            </w:r>
            <w:r w:rsidRPr="00031651">
              <w:rPr>
                <w:rFonts w:ascii="Times New Roman" w:hAnsi="Times New Roman" w:cs="Times New Roman"/>
                <w:sz w:val="24"/>
                <w:szCs w:val="24"/>
              </w:rPr>
              <w:t xml:space="preserve">§ 1 </w:t>
            </w:r>
          </w:p>
          <w:p w14:paraId="1C41DC9E" w14:textId="77777777" w:rsidR="00CB1ED4" w:rsidRPr="00031651" w:rsidRDefault="00CB1ED4" w:rsidP="00B04FC2">
            <w:pPr>
              <w:jc w:val="center"/>
              <w:rPr>
                <w:rFonts w:ascii="Times New Roman" w:hAnsi="Times New Roman" w:cs="Times New Roman"/>
                <w:b w:val="0"/>
                <w:bCs w:val="0"/>
                <w:sz w:val="24"/>
                <w:szCs w:val="24"/>
                <w:lang w:val="ro-RO"/>
              </w:rPr>
            </w:pPr>
          </w:p>
          <w:p w14:paraId="4A7F7528" w14:textId="1674DCA8" w:rsidR="009E4369" w:rsidRPr="00031651" w:rsidRDefault="00D51BE2"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14+ </w:t>
            </w:r>
            <w:r w:rsidR="0027626F" w:rsidRPr="00031651">
              <w:rPr>
                <w:rFonts w:ascii="Times New Roman" w:hAnsi="Times New Roman" w:cs="Times New Roman"/>
                <w:sz w:val="24"/>
                <w:szCs w:val="24"/>
                <w:lang w:val="ro-RO"/>
              </w:rPr>
              <w:t>1 Prt.1</w:t>
            </w:r>
          </w:p>
        </w:tc>
        <w:tc>
          <w:tcPr>
            <w:tcW w:w="1525" w:type="dxa"/>
          </w:tcPr>
          <w:p w14:paraId="0BFB362D" w14:textId="78DD8D2E" w:rsidR="009E4369" w:rsidRPr="00031651" w:rsidRDefault="00DC124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Discriminare</w:t>
            </w:r>
          </w:p>
          <w:p w14:paraId="16BE4C1C" w14:textId="05B9604E" w:rsidR="00A641DE" w:rsidRPr="00031651" w:rsidRDefault="00A641D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633" w:type="dxa"/>
          </w:tcPr>
          <w:p w14:paraId="15E1DE2C" w14:textId="464A37C8" w:rsidR="00FB2392" w:rsidRPr="00031651" w:rsidRDefault="00FB2392" w:rsidP="00206C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20452/14</w:t>
            </w:r>
          </w:p>
          <w:p w14:paraId="590DAF0F" w14:textId="04FA5460" w:rsidR="00FB2392" w:rsidRPr="00031651" w:rsidRDefault="00FB2392" w:rsidP="00206C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19</w:t>
            </w:r>
            <w:r w:rsidR="00206CCA" w:rsidRPr="00031651">
              <w:rPr>
                <w:rFonts w:ascii="Times New Roman" w:hAnsi="Times New Roman" w:cs="Times New Roman"/>
                <w:sz w:val="24"/>
                <w:szCs w:val="24"/>
                <w:lang w:val="ro-RO"/>
              </w:rPr>
              <w:t>/12/2018</w:t>
            </w:r>
          </w:p>
          <w:p w14:paraId="2D75E38F" w14:textId="3067FF40" w:rsidR="002B7651" w:rsidRPr="00031651" w:rsidRDefault="002B7651" w:rsidP="00206CC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Molla Sali </w:t>
            </w:r>
            <w:r w:rsidR="00206CCA" w:rsidRPr="00031651">
              <w:rPr>
                <w:rFonts w:ascii="Times New Roman" w:hAnsi="Times New Roman" w:cs="Times New Roman"/>
                <w:sz w:val="24"/>
                <w:szCs w:val="24"/>
                <w:lang w:val="ro-RO"/>
              </w:rPr>
              <w:t>contra</w:t>
            </w:r>
            <w:r w:rsidRPr="00031651">
              <w:rPr>
                <w:rFonts w:ascii="Times New Roman" w:hAnsi="Times New Roman" w:cs="Times New Roman"/>
                <w:sz w:val="24"/>
                <w:szCs w:val="24"/>
                <w:lang w:val="ro-RO"/>
              </w:rPr>
              <w:t xml:space="preserve"> Grecia</w:t>
            </w:r>
          </w:p>
          <w:p w14:paraId="1D7A9A14"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1D2CE52E" w14:textId="77777777" w:rsidR="00F20545" w:rsidRPr="00031651" w:rsidRDefault="00EE79CA" w:rsidP="00DA2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85,86,</w:t>
            </w:r>
            <w:r w:rsidR="002E7C0D" w:rsidRPr="00031651">
              <w:rPr>
                <w:rFonts w:ascii="Times New Roman" w:hAnsi="Times New Roman" w:cs="Times New Roman"/>
                <w:sz w:val="24"/>
                <w:szCs w:val="24"/>
                <w:lang w:val="ro-RO"/>
              </w:rPr>
              <w:t>1</w:t>
            </w:r>
            <w:r w:rsidR="00A10E58" w:rsidRPr="00031651">
              <w:rPr>
                <w:rFonts w:ascii="Times New Roman" w:hAnsi="Times New Roman" w:cs="Times New Roman"/>
                <w:sz w:val="24"/>
                <w:szCs w:val="24"/>
                <w:lang w:val="ro-RO"/>
              </w:rPr>
              <w:t>31,132,150,</w:t>
            </w:r>
            <w:r w:rsidR="00DC107B" w:rsidRPr="00031651">
              <w:rPr>
                <w:rFonts w:ascii="Times New Roman" w:hAnsi="Times New Roman" w:cs="Times New Roman"/>
                <w:sz w:val="24"/>
                <w:szCs w:val="24"/>
                <w:lang w:val="ro-RO"/>
              </w:rPr>
              <w:t>151,</w:t>
            </w:r>
            <w:r w:rsidR="00DA2FD8" w:rsidRPr="00031651">
              <w:rPr>
                <w:rFonts w:ascii="Times New Roman" w:hAnsi="Times New Roman" w:cs="Times New Roman"/>
                <w:sz w:val="24"/>
                <w:szCs w:val="24"/>
                <w:lang w:val="ro-RO"/>
              </w:rPr>
              <w:t>152,</w:t>
            </w:r>
          </w:p>
          <w:p w14:paraId="0375A4D2" w14:textId="689494B9" w:rsidR="00DA2FD8" w:rsidRPr="00031651" w:rsidRDefault="00F20545" w:rsidP="00DA2FD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155,</w:t>
            </w:r>
            <w:r w:rsidR="00072467" w:rsidRPr="00031651">
              <w:rPr>
                <w:rFonts w:ascii="Times New Roman" w:hAnsi="Times New Roman" w:cs="Times New Roman"/>
                <w:sz w:val="24"/>
                <w:szCs w:val="24"/>
                <w:lang w:val="ro-RO"/>
              </w:rPr>
              <w:t xml:space="preserve"> 156,</w:t>
            </w:r>
            <w:r w:rsidR="00E647F3" w:rsidRPr="00031651">
              <w:rPr>
                <w:rFonts w:ascii="Times New Roman" w:hAnsi="Times New Roman" w:cs="Times New Roman"/>
                <w:sz w:val="24"/>
                <w:szCs w:val="24"/>
                <w:lang w:val="ro-RO"/>
              </w:rPr>
              <w:t xml:space="preserve"> 157</w:t>
            </w:r>
          </w:p>
        </w:tc>
        <w:tc>
          <w:tcPr>
            <w:tcW w:w="1559" w:type="dxa"/>
          </w:tcPr>
          <w:p w14:paraId="5340BE91" w14:textId="2A3612DF" w:rsidR="009E4369" w:rsidRPr="00031651" w:rsidRDefault="004829FC" w:rsidP="007C15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Moștenire, proprietate, </w:t>
            </w:r>
            <w:r w:rsidR="00465ECC" w:rsidRPr="00031651">
              <w:rPr>
                <w:rFonts w:ascii="Times New Roman" w:hAnsi="Times New Roman" w:cs="Times New Roman"/>
                <w:sz w:val="24"/>
                <w:szCs w:val="24"/>
                <w:lang w:val="ro-RO"/>
              </w:rPr>
              <w:t xml:space="preserve">legea Sharia, </w:t>
            </w:r>
            <w:r w:rsidR="00EB6381" w:rsidRPr="00031651">
              <w:rPr>
                <w:rFonts w:ascii="Times New Roman" w:hAnsi="Times New Roman" w:cs="Times New Roman"/>
                <w:sz w:val="24"/>
                <w:szCs w:val="24"/>
                <w:lang w:val="ro-RO"/>
              </w:rPr>
              <w:t>victimă</w:t>
            </w:r>
          </w:p>
        </w:tc>
        <w:tc>
          <w:tcPr>
            <w:tcW w:w="6804" w:type="dxa"/>
          </w:tcPr>
          <w:p w14:paraId="5766FA2B" w14:textId="6F694924" w:rsidR="00807C61" w:rsidRPr="00031651" w:rsidRDefault="00A96DA3" w:rsidP="00807C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85. </w:t>
            </w:r>
            <w:r w:rsidRPr="00031651">
              <w:rPr>
                <w:rFonts w:ascii="Times New Roman" w:hAnsi="Times New Roman" w:cs="Times New Roman"/>
                <w:sz w:val="24"/>
                <w:szCs w:val="24"/>
              </w:rPr>
              <w:t>Fiind competentă în ceea ce privește calificarea juridică care trebuie dată</w:t>
            </w:r>
            <w:r w:rsidR="00807C61" w:rsidRPr="00031651">
              <w:rPr>
                <w:rFonts w:ascii="Times New Roman" w:hAnsi="Times New Roman" w:cs="Times New Roman"/>
                <w:sz w:val="24"/>
                <w:szCs w:val="24"/>
              </w:rPr>
              <w:t xml:space="preserve"> </w:t>
            </w:r>
            <w:r w:rsidRPr="00031651">
              <w:rPr>
                <w:rFonts w:ascii="Times New Roman" w:hAnsi="Times New Roman" w:cs="Times New Roman"/>
                <w:sz w:val="24"/>
                <w:szCs w:val="24"/>
              </w:rPr>
              <w:t>faptelor unei cauze, Curtea nu este ținută de calificarea dată de un</w:t>
            </w:r>
            <w:r w:rsidR="00807C61" w:rsidRPr="00031651">
              <w:rPr>
                <w:rFonts w:ascii="Times New Roman" w:hAnsi="Times New Roman" w:cs="Times New Roman"/>
                <w:sz w:val="24"/>
                <w:szCs w:val="24"/>
              </w:rPr>
              <w:t xml:space="preserve"> </w:t>
            </w:r>
            <w:r w:rsidRPr="00031651">
              <w:rPr>
                <w:rFonts w:ascii="Times New Roman" w:hAnsi="Times New Roman" w:cs="Times New Roman"/>
                <w:sz w:val="24"/>
                <w:szCs w:val="24"/>
              </w:rPr>
              <w:t>reclamant sau de un Guvern. În virtutea principiului *jura novit curia*, aceast</w:t>
            </w:r>
            <w:r w:rsidR="00807C61" w:rsidRPr="00031651">
              <w:rPr>
                <w:rFonts w:ascii="Times New Roman" w:hAnsi="Times New Roman" w:cs="Times New Roman"/>
                <w:sz w:val="24"/>
                <w:szCs w:val="24"/>
              </w:rPr>
              <w:t xml:space="preserve"> </w:t>
            </w:r>
            <w:r w:rsidRPr="00031651">
              <w:rPr>
                <w:rFonts w:ascii="Times New Roman" w:hAnsi="Times New Roman" w:cs="Times New Roman"/>
                <w:sz w:val="24"/>
                <w:szCs w:val="24"/>
              </w:rPr>
              <w:t>a examinat, de exemplu, din oficiu plângeri formulate în temeiul unor articole sau</w:t>
            </w:r>
            <w:r w:rsidR="001102C6" w:rsidRPr="00031651">
              <w:rPr>
                <w:rFonts w:ascii="Times New Roman" w:hAnsi="Times New Roman" w:cs="Times New Roman"/>
                <w:sz w:val="24"/>
                <w:szCs w:val="24"/>
              </w:rPr>
              <w:t xml:space="preserve"> </w:t>
            </w:r>
            <w:r w:rsidRPr="00031651">
              <w:rPr>
                <w:rFonts w:ascii="Times New Roman" w:hAnsi="Times New Roman" w:cs="Times New Roman"/>
                <w:sz w:val="24"/>
                <w:szCs w:val="24"/>
              </w:rPr>
              <w:t>paragrafe care nu au fost invocate de părți. O plângere este caracterizată de</w:t>
            </w:r>
            <w:r w:rsidR="00807C61" w:rsidRPr="00031651">
              <w:rPr>
                <w:rFonts w:ascii="Times New Roman" w:hAnsi="Times New Roman" w:cs="Times New Roman"/>
                <w:sz w:val="24"/>
                <w:szCs w:val="24"/>
              </w:rPr>
              <w:t xml:space="preserve"> </w:t>
            </w:r>
            <w:r w:rsidRPr="00031651">
              <w:rPr>
                <w:rFonts w:ascii="Times New Roman" w:hAnsi="Times New Roman" w:cs="Times New Roman"/>
                <w:sz w:val="24"/>
                <w:szCs w:val="24"/>
              </w:rPr>
              <w:t>faptele invocate în aceasta și nu doar de motivele sau argumentele juridice invocate</w:t>
            </w:r>
            <w:r w:rsidR="00807C61" w:rsidRPr="00031651">
              <w:rPr>
                <w:rFonts w:ascii="Times New Roman" w:hAnsi="Times New Roman" w:cs="Times New Roman"/>
                <w:sz w:val="24"/>
                <w:szCs w:val="24"/>
              </w:rPr>
              <w:t xml:space="preserve">. </w:t>
            </w:r>
          </w:p>
          <w:p w14:paraId="4FF05920" w14:textId="77777777" w:rsidR="00140323" w:rsidRPr="00031651" w:rsidRDefault="00FE64BA" w:rsidP="0014032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031651">
              <w:rPr>
                <w:rFonts w:ascii="Times New Roman" w:hAnsi="Times New Roman" w:cs="Times New Roman"/>
                <w:b/>
                <w:bCs/>
                <w:sz w:val="24"/>
                <w:szCs w:val="24"/>
              </w:rPr>
              <w:t xml:space="preserve">86. </w:t>
            </w:r>
            <w:r w:rsidR="00140323" w:rsidRPr="00031651">
              <w:rPr>
                <w:rFonts w:ascii="Times New Roman" w:hAnsi="Times New Roman" w:cs="Times New Roman"/>
                <w:sz w:val="24"/>
                <w:szCs w:val="24"/>
              </w:rPr>
              <w:t>Curtea consideră că, întrucât punctul central al prezentei cauze îl reprezintă refuzul Curții de Casație de a aplica dreptul succesoral astfel cum este prevăzut în Codul civil, pentru motive legate de credința musulmană a testatorului, soțul reclamantei, problema principală care se pune este dacă a existat o diferență de tratament susceptibilă să constituie discriminare, în raport cu aplicarea dreptului succesoral, astfel cum este prevăzut în Codul civil, persoanelor care urmăresc să beneficieze de un testament întocmit de un testator care nu aparține credinței musulmane. Prin urmare, Curtea va examina cauza exclusiv în temeiul articolului 14 din Convenție, interpretat împreună cu articolul 1 din Protocolul nr. 1.</w:t>
            </w:r>
          </w:p>
          <w:p w14:paraId="3A40D26B" w14:textId="77777777" w:rsidR="009E4369" w:rsidRPr="00031651" w:rsidRDefault="004D5039"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131</w:t>
            </w:r>
            <w:r w:rsidRPr="00031651">
              <w:rPr>
                <w:rFonts w:ascii="Times New Roman" w:hAnsi="Times New Roman" w:cs="Times New Roman"/>
                <w:sz w:val="24"/>
                <w:szCs w:val="24"/>
              </w:rPr>
              <w:t xml:space="preserve">. </w:t>
            </w:r>
            <w:r w:rsidR="001E2212" w:rsidRPr="00031651">
              <w:rPr>
                <w:rFonts w:ascii="Times New Roman" w:hAnsi="Times New Roman" w:cs="Times New Roman"/>
                <w:sz w:val="24"/>
                <w:szCs w:val="24"/>
              </w:rPr>
              <w:t xml:space="preserve">Curtea consideră că interesul patrimonial al reclamantei privind moștenirea de la soțul ei era de o natură suficientă și suficient de recunoscut pentru a constitui o „posesiune” în sensul regulii prevăzute în prima teză a primului paragraf al articolului 1 din Protocolul nr. 1. </w:t>
            </w:r>
          </w:p>
          <w:p w14:paraId="41061130" w14:textId="02A86306" w:rsidR="008215B9" w:rsidRPr="00031651" w:rsidRDefault="008215B9"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132</w:t>
            </w:r>
            <w:r w:rsidRPr="00031651">
              <w:rPr>
                <w:rFonts w:ascii="Times New Roman" w:hAnsi="Times New Roman" w:cs="Times New Roman"/>
                <w:sz w:val="24"/>
                <w:szCs w:val="24"/>
              </w:rPr>
              <w:t xml:space="preserve">. </w:t>
            </w:r>
            <w:r w:rsidR="00A10E58" w:rsidRPr="00031651">
              <w:rPr>
                <w:rFonts w:ascii="Times New Roman" w:hAnsi="Times New Roman" w:cs="Times New Roman"/>
                <w:sz w:val="24"/>
                <w:szCs w:val="24"/>
              </w:rPr>
              <w:t>Curtea a stabilit, î</w:t>
            </w:r>
            <w:r w:rsidRPr="00031651">
              <w:rPr>
                <w:rFonts w:ascii="Times New Roman" w:hAnsi="Times New Roman" w:cs="Times New Roman"/>
                <w:sz w:val="24"/>
                <w:szCs w:val="24"/>
              </w:rPr>
              <w:t>n consecință, interesul patrimonial al reclamantei intră în domeniul de aplicare al articolului 1 din Protocolul nr. 1 și al dreptului la respectarea bunurilor garantat prin acesta, ceea ce este suficient pentru a face aplicabil articolul 14 din Convenție.</w:t>
            </w:r>
          </w:p>
          <w:p w14:paraId="4180A90D" w14:textId="77777777" w:rsidR="008215B9" w:rsidRPr="00031651" w:rsidRDefault="006C34A2"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150</w:t>
            </w:r>
            <w:r w:rsidRPr="00031651">
              <w:rPr>
                <w:rFonts w:ascii="Times New Roman" w:hAnsi="Times New Roman" w:cs="Times New Roman"/>
                <w:sz w:val="24"/>
                <w:szCs w:val="24"/>
              </w:rPr>
              <w:t xml:space="preserve">. </w:t>
            </w:r>
            <w:r w:rsidR="00C8773E" w:rsidRPr="00031651">
              <w:rPr>
                <w:rFonts w:ascii="Times New Roman" w:hAnsi="Times New Roman" w:cs="Times New Roman"/>
                <w:sz w:val="24"/>
                <w:szCs w:val="24"/>
              </w:rPr>
              <w:t>În opinia Curții, justificarea pe care Grecia o deduce din dreptul șariei sau din obligațiile sale internaționale nu este convingătoare, pentru următoarele motive.</w:t>
            </w:r>
          </w:p>
          <w:p w14:paraId="2CF921EA" w14:textId="2ADDA383" w:rsidR="00110C8E" w:rsidRPr="00031651" w:rsidRDefault="00110C8E"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lastRenderedPageBreak/>
              <w:t>151</w:t>
            </w:r>
            <w:r w:rsidRPr="00031651">
              <w:rPr>
                <w:rFonts w:ascii="Times New Roman" w:hAnsi="Times New Roman" w:cs="Times New Roman"/>
                <w:sz w:val="24"/>
                <w:szCs w:val="24"/>
              </w:rPr>
              <w:t>. Curtea observă că nu există nicio îndoială că, prin semnarea și ratificarea Tratatelor de la Sèvres și Lausanne, Grecia s-a angajat să respecte obiceiurile minorității musulmane. Totuși, având în vedere formularea dispozițiilor în cauză, aceste tratate nu impun Greciei aplicarea dreptului șariei. De altfel, Guvernul și reclamanta au fost de acord asupra acestui aspect. Mai exact, Tratatul de la Lausanne nu menționează în mod explicit competența muftiului, ci garantează specificitatea religioasă a comunității musulmane grecești, care a fost exclusă de la schimbul de populație prevăzut de acel tratat și care era destinată să rămână în Grecia, unde marea majoritate a populației era creștină. Tratatul nu a conferit, de asemenea, niciun fel de jurisdicție unui organism special în materie de practici religioase. Nu poate fi omis nici faptul că, în cadrul audierii, Guvernul a declarat că dispozițiile Tratatului de la Atena privind protecția drepturilor minorităților și cele ale Tratatului de la Sèvres nu mai erau în vigoare, aspect recunoscut anterior și în cauza Serif c. Grecia.</w:t>
            </w:r>
          </w:p>
          <w:p w14:paraId="104DE5E4" w14:textId="442581E7" w:rsidR="00110C8E" w:rsidRPr="00031651" w:rsidRDefault="00E943CA"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152</w:t>
            </w:r>
            <w:r w:rsidRPr="00031651">
              <w:rPr>
                <w:rFonts w:ascii="Times New Roman" w:hAnsi="Times New Roman" w:cs="Times New Roman"/>
                <w:sz w:val="24"/>
                <w:szCs w:val="24"/>
              </w:rPr>
              <w:t>. Curtea observă, de asemenea, că articolul 5 alineatul (2) din Legea nr. 1920/1991, care enumeră, printre altele, domeniul de competență al muftiului în materie succesorală, se referă exclusiv la testamente islamice și la succesiunea ab intestat, și nu la competența muftiilor asupra altor forme de moștenire. Așa cum este obișnuit în Grecia, notarul la care a apelat soțul reclamantei a acceptat să redacteze testamentul conform dorinței acestuia.</w:t>
            </w:r>
          </w:p>
          <w:p w14:paraId="641A3CFE" w14:textId="585D0795" w:rsidR="004E035A" w:rsidRPr="00031651" w:rsidRDefault="004E035A"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155</w:t>
            </w:r>
            <w:r w:rsidRPr="00031651">
              <w:rPr>
                <w:rFonts w:ascii="Times New Roman" w:hAnsi="Times New Roman" w:cs="Times New Roman"/>
                <w:sz w:val="24"/>
                <w:szCs w:val="24"/>
              </w:rPr>
              <w:t>. Curtea reiterează că, potrivit jurisprudenței sale, libertatea religioasă nu impune Statelor contractante să creeze un cadru juridic special pentru a acorda comunităților religioase un statut particular ce implică privilegii specifice. Totuși, un stat care a creat un asemenea statut trebuie să garanteze că criteriile stabilite pentru dobândirea acestuia de către un grup sunt aplicate într-un mod nediscriminatoriu.</w:t>
            </w:r>
          </w:p>
          <w:p w14:paraId="62112DB0" w14:textId="163BD2CF" w:rsidR="00652DC8" w:rsidRPr="00031651" w:rsidRDefault="00652DC8" w:rsidP="00A96DA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156</w:t>
            </w:r>
            <w:r w:rsidRPr="00031651">
              <w:rPr>
                <w:rFonts w:ascii="Times New Roman" w:hAnsi="Times New Roman" w:cs="Times New Roman"/>
                <w:sz w:val="24"/>
                <w:szCs w:val="24"/>
              </w:rPr>
              <w:t xml:space="preserve">. </w:t>
            </w:r>
            <w:r w:rsidR="00072467" w:rsidRPr="00031651">
              <w:rPr>
                <w:rFonts w:ascii="Times New Roman" w:hAnsi="Times New Roman" w:cs="Times New Roman"/>
                <w:sz w:val="24"/>
                <w:szCs w:val="24"/>
              </w:rPr>
              <w:t>Curtea a stabilit</w:t>
            </w:r>
            <w:r w:rsidR="005342AC" w:rsidRPr="00031651">
              <w:rPr>
                <w:rFonts w:ascii="Times New Roman" w:hAnsi="Times New Roman" w:cs="Times New Roman"/>
                <w:sz w:val="24"/>
                <w:szCs w:val="24"/>
              </w:rPr>
              <w:t xml:space="preserve"> că, </w:t>
            </w:r>
            <w:r w:rsidRPr="00031651">
              <w:rPr>
                <w:rFonts w:ascii="Times New Roman" w:hAnsi="Times New Roman" w:cs="Times New Roman"/>
                <w:sz w:val="24"/>
                <w:szCs w:val="24"/>
              </w:rPr>
              <w:t xml:space="preserve">nu se poate presupune că un testator de credință musulmană, care a întocmit un testament în conformitate cu Codul civil, a renunțat automat la dreptul său sau la dreptul </w:t>
            </w:r>
            <w:r w:rsidRPr="00031651">
              <w:rPr>
                <w:rFonts w:ascii="Times New Roman" w:hAnsi="Times New Roman" w:cs="Times New Roman"/>
                <w:sz w:val="24"/>
                <w:szCs w:val="24"/>
              </w:rPr>
              <w:lastRenderedPageBreak/>
              <w:t>beneficiarilor săi de a nu fi discriminați pe baza religiei sale. Convingerile religioase ale unei persoane nu pot fi considerate valabil ca implicând renunțarea la anumite drepturi, dacă aceasta ar contraveni unui interes public important. De asemenea, statul nu poate prelua rolul de garant al identității minoritare a unui anumit grup al populației în detrimentul dreptului membrilor acelui grup de a alege să nu îi aparțină sau să nu urmeze practicile și regulile sale.</w:t>
            </w:r>
          </w:p>
          <w:p w14:paraId="75DB95F1" w14:textId="48582AB8" w:rsidR="00611B73" w:rsidRPr="00031651" w:rsidRDefault="006074BE" w:rsidP="00666814">
            <w:pPr>
              <w:tabs>
                <w:tab w:val="left" w:pos="3655"/>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157</w:t>
            </w:r>
            <w:r w:rsidRPr="00031651">
              <w:rPr>
                <w:rFonts w:ascii="Times New Roman" w:hAnsi="Times New Roman" w:cs="Times New Roman"/>
                <w:sz w:val="24"/>
                <w:szCs w:val="24"/>
              </w:rPr>
              <w:t xml:space="preserve">. </w:t>
            </w:r>
            <w:r w:rsidR="00763C37" w:rsidRPr="00031651">
              <w:rPr>
                <w:rFonts w:ascii="Times New Roman" w:hAnsi="Times New Roman" w:cs="Times New Roman"/>
                <w:sz w:val="24"/>
                <w:szCs w:val="24"/>
              </w:rPr>
              <w:t>Curtea a reiter</w:t>
            </w:r>
            <w:r w:rsidR="00C93015" w:rsidRPr="00031651">
              <w:rPr>
                <w:rFonts w:ascii="Times New Roman" w:hAnsi="Times New Roman" w:cs="Times New Roman"/>
                <w:sz w:val="24"/>
                <w:szCs w:val="24"/>
              </w:rPr>
              <w:t>at că a</w:t>
            </w:r>
            <w:r w:rsidRPr="00031651">
              <w:rPr>
                <w:rFonts w:ascii="Times New Roman" w:hAnsi="Times New Roman" w:cs="Times New Roman"/>
                <w:sz w:val="24"/>
                <w:szCs w:val="24"/>
              </w:rPr>
              <w:t xml:space="preserve"> refuza membrilor unei minorități religioase dreptul de a opta în mod voluntar pentru și de a beneficia de dreptul comun nu echivalează doar cu un tratament discriminatoriu, ci și cu o încălcare a unui drept de importanță cardinală în domeniul protecției minorităților, și anume dreptul la autoidentificare liberă. Aspectul negativ al acestui drept, și anume dreptul de a alege să nu fie tratat ca membru al unei minorități, nu este limitat în același mod ca aspectul pozitiv al dreptului. Alegerea respectivă este în întregime liberă, cu condiția să fie informată. Ea trebuie respectată atât de ceilalți membri ai minorității, cât și de statul însuși. Aceasta este susținut de articolul 3 § 1 din Convenția-cadru a Consiliului Europei pentru protecția minorităților naționale, care prevede următoarele: „niciun dezavantaj nu va rezulta din această alegere sau din exercitarea drepturilor care sunt legate de această alegere”. Dreptul la autoidentificare liberă nu este un drept specific Convenției-cadru. El reprezintă „piatra de temelie” a dreptului internațional în materia protecției minorităților în general. Acest lucru se aplică în special aspectului negativ al dreptului: nicio convenție bilaterală sau multilaterală și niciun alt instrument nu obligă pe cineva să se supună împotriva voinței sale unui regim special în materia protecției minorităților.</w:t>
            </w:r>
          </w:p>
        </w:tc>
        <w:tc>
          <w:tcPr>
            <w:tcW w:w="2693" w:type="dxa"/>
          </w:tcPr>
          <w:p w14:paraId="79457397" w14:textId="77777777" w:rsidR="009E4369" w:rsidRPr="00031651" w:rsidRDefault="00FD080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w:t>
            </w:r>
            <w:r w:rsidR="00C36AAA" w:rsidRPr="00031651">
              <w:rPr>
                <w:rFonts w:ascii="Times New Roman" w:hAnsi="Times New Roman" w:cs="Times New Roman"/>
                <w:sz w:val="24"/>
                <w:szCs w:val="24"/>
                <w:lang w:val="ro-RO"/>
              </w:rPr>
              <w:t xml:space="preserve">art. 14 coroborat cu art.1 Protocolul 1 </w:t>
            </w:r>
          </w:p>
          <w:p w14:paraId="6E3EC6D5" w14:textId="77777777" w:rsidR="00ED1CA1" w:rsidRPr="00031651" w:rsidRDefault="00ED1CA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118AA6A8" w14:textId="77777777" w:rsidR="00091011" w:rsidRPr="00031651" w:rsidRDefault="0009101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Art.41- Curtea a declara că nu este gata de a se </w:t>
            </w:r>
            <w:r w:rsidR="00744D85" w:rsidRPr="00031651">
              <w:rPr>
                <w:rFonts w:ascii="Times New Roman" w:hAnsi="Times New Roman" w:cs="Times New Roman"/>
                <w:sz w:val="24"/>
                <w:szCs w:val="24"/>
                <w:lang w:val="ro-RO"/>
              </w:rPr>
              <w:t xml:space="preserve">expune, lăsând părților un termen de 3 luni pentru </w:t>
            </w:r>
            <w:r w:rsidR="00C3608C" w:rsidRPr="00031651">
              <w:rPr>
                <w:rFonts w:ascii="Times New Roman" w:hAnsi="Times New Roman" w:cs="Times New Roman"/>
                <w:sz w:val="24"/>
                <w:szCs w:val="24"/>
                <w:lang w:val="ro-RO"/>
              </w:rPr>
              <w:t xml:space="preserve">a se expune în scris. </w:t>
            </w:r>
          </w:p>
          <w:p w14:paraId="04143385" w14:textId="2E7FED78" w:rsidR="00C3608C" w:rsidRPr="00031651" w:rsidRDefault="00C3608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(rezervă)</w:t>
            </w:r>
          </w:p>
        </w:tc>
      </w:tr>
      <w:tr w:rsidR="00B15A54" w:rsidRPr="00031651" w14:paraId="6832992D" w14:textId="77777777" w:rsidTr="002B5D54">
        <w:tc>
          <w:tcPr>
            <w:cnfStyle w:val="001000000000" w:firstRow="0" w:lastRow="0" w:firstColumn="1" w:lastColumn="0" w:oddVBand="0" w:evenVBand="0" w:oddHBand="0" w:evenHBand="0" w:firstRowFirstColumn="0" w:firstRowLastColumn="0" w:lastRowFirstColumn="0" w:lastRowLastColumn="0"/>
            <w:tcW w:w="16052" w:type="dxa"/>
            <w:gridSpan w:val="7"/>
          </w:tcPr>
          <w:p w14:paraId="3C67764F" w14:textId="0479A2DD" w:rsidR="00B15A54" w:rsidRPr="00031651" w:rsidRDefault="00B15A54" w:rsidP="00AA7206">
            <w:pPr>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Hotărâri de Cameră</w:t>
            </w:r>
          </w:p>
        </w:tc>
      </w:tr>
      <w:tr w:rsidR="000520F9" w:rsidRPr="00031651" w14:paraId="2177C94E"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619058FD" w14:textId="77777777" w:rsidR="007431C8" w:rsidRPr="00031651" w:rsidRDefault="007431C8" w:rsidP="007431C8">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2</w:t>
            </w:r>
          </w:p>
          <w:p w14:paraId="5E2EE8FE" w14:textId="77777777" w:rsidR="007431C8" w:rsidRPr="00031651" w:rsidRDefault="007431C8" w:rsidP="007431C8">
            <w:pPr>
              <w:jc w:val="center"/>
              <w:rPr>
                <w:rFonts w:ascii="Times New Roman" w:hAnsi="Times New Roman" w:cs="Times New Roman"/>
                <w:sz w:val="24"/>
                <w:szCs w:val="24"/>
                <w:lang w:val="ro-RO"/>
              </w:rPr>
            </w:pPr>
          </w:p>
          <w:p w14:paraId="649E5670" w14:textId="77777777" w:rsidR="007431C8" w:rsidRPr="00031651" w:rsidRDefault="007431C8" w:rsidP="007431C8">
            <w:pPr>
              <w:jc w:val="center"/>
              <w:rPr>
                <w:rFonts w:ascii="Times New Roman" w:hAnsi="Times New Roman" w:cs="Times New Roman"/>
                <w:sz w:val="24"/>
                <w:szCs w:val="24"/>
                <w:lang w:val="ro-RO"/>
              </w:rPr>
            </w:pPr>
            <w:r w:rsidRPr="00031651">
              <w:rPr>
                <w:rFonts w:ascii="Times New Roman" w:hAnsi="Times New Roman" w:cs="Times New Roman"/>
                <w:b w:val="0"/>
                <w:bCs w:val="0"/>
                <w:sz w:val="24"/>
                <w:szCs w:val="24"/>
                <w:lang w:val="ro-RO"/>
              </w:rPr>
              <w:t>38</w:t>
            </w:r>
          </w:p>
          <w:p w14:paraId="6C3EBB83" w14:textId="77777777" w:rsidR="00E33950" w:rsidRPr="00031651" w:rsidRDefault="00E33950" w:rsidP="007431C8">
            <w:pPr>
              <w:jc w:val="center"/>
              <w:rPr>
                <w:rFonts w:ascii="Times New Roman" w:hAnsi="Times New Roman" w:cs="Times New Roman"/>
                <w:sz w:val="24"/>
                <w:szCs w:val="24"/>
                <w:lang w:val="ro-RO"/>
              </w:rPr>
            </w:pPr>
          </w:p>
          <w:p w14:paraId="196381E6" w14:textId="1E83C15B" w:rsidR="00E33950" w:rsidRPr="00031651" w:rsidRDefault="00E33950" w:rsidP="007431C8">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t>13</w:t>
            </w:r>
          </w:p>
        </w:tc>
        <w:tc>
          <w:tcPr>
            <w:tcW w:w="1525" w:type="dxa"/>
          </w:tcPr>
          <w:p w14:paraId="25123FE4" w14:textId="179865AE" w:rsidR="007431C8" w:rsidRPr="00031651" w:rsidRDefault="00617BB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Viața</w:t>
            </w:r>
          </w:p>
          <w:p w14:paraId="1E9CE3D1" w14:textId="77777777" w:rsidR="00617BB0" w:rsidRPr="00031651" w:rsidRDefault="00617BB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9BB76D7" w14:textId="77777777" w:rsidR="007431C8" w:rsidRPr="00031651" w:rsidRDefault="007431C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Anchetă ineficientă </w:t>
            </w:r>
          </w:p>
          <w:p w14:paraId="3A8FE032" w14:textId="77777777" w:rsidR="007431C8" w:rsidRPr="00031651" w:rsidRDefault="007431C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197B0449" w14:textId="6095C645" w:rsidR="007431C8" w:rsidRPr="00031651" w:rsidRDefault="007431C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633" w:type="dxa"/>
          </w:tcPr>
          <w:p w14:paraId="57F57529" w14:textId="474BFB44" w:rsidR="001564FE" w:rsidRPr="00031651" w:rsidRDefault="00277EF4" w:rsidP="00277E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15998/11</w:t>
            </w:r>
          </w:p>
          <w:p w14:paraId="34584DAA" w14:textId="20201D19" w:rsidR="00277EF4" w:rsidRPr="00031651" w:rsidRDefault="00A17642" w:rsidP="00277EF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18/09/2025</w:t>
            </w:r>
          </w:p>
          <w:p w14:paraId="1F60330C" w14:textId="031F0452" w:rsidR="000520F9" w:rsidRPr="00031651" w:rsidRDefault="000520F9" w:rsidP="0032050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Farmanyan și alții contra Armenia</w:t>
            </w:r>
          </w:p>
        </w:tc>
        <w:tc>
          <w:tcPr>
            <w:tcW w:w="1202" w:type="dxa"/>
          </w:tcPr>
          <w:p w14:paraId="4893149F" w14:textId="5E42B4F6" w:rsidR="000520F9" w:rsidRPr="00031651" w:rsidRDefault="00A17642"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167</w:t>
            </w:r>
            <w:r w:rsidR="007C15D2" w:rsidRPr="00031651">
              <w:rPr>
                <w:rFonts w:ascii="Times New Roman" w:hAnsi="Times New Roman" w:cs="Times New Roman"/>
                <w:sz w:val="24"/>
                <w:szCs w:val="24"/>
                <w:lang w:val="ro-RO"/>
              </w:rPr>
              <w:t xml:space="preserve">,175, 194, 195, 196, 197, 212, </w:t>
            </w:r>
            <w:r w:rsidR="005B7C9F" w:rsidRPr="00031651">
              <w:rPr>
                <w:rFonts w:ascii="Times New Roman" w:hAnsi="Times New Roman" w:cs="Times New Roman"/>
                <w:sz w:val="24"/>
                <w:szCs w:val="24"/>
                <w:lang w:val="ro-RO"/>
              </w:rPr>
              <w:t xml:space="preserve">220, 248, 252, </w:t>
            </w:r>
            <w:r w:rsidR="005B7C9F" w:rsidRPr="00031651">
              <w:rPr>
                <w:rFonts w:ascii="Times New Roman" w:hAnsi="Times New Roman" w:cs="Times New Roman"/>
                <w:sz w:val="24"/>
                <w:szCs w:val="24"/>
                <w:lang w:val="ro-RO"/>
              </w:rPr>
              <w:lastRenderedPageBreak/>
              <w:t xml:space="preserve">257, 258, </w:t>
            </w:r>
            <w:r w:rsidR="00677FAD" w:rsidRPr="00031651">
              <w:rPr>
                <w:rFonts w:ascii="Times New Roman" w:hAnsi="Times New Roman" w:cs="Times New Roman"/>
                <w:sz w:val="24"/>
                <w:szCs w:val="24"/>
                <w:lang w:val="ro-RO"/>
              </w:rPr>
              <w:t xml:space="preserve">259, </w:t>
            </w:r>
            <w:r w:rsidR="001A691C" w:rsidRPr="00031651">
              <w:rPr>
                <w:rFonts w:ascii="Times New Roman" w:hAnsi="Times New Roman" w:cs="Times New Roman"/>
                <w:sz w:val="24"/>
                <w:szCs w:val="24"/>
                <w:lang w:val="ro-RO"/>
              </w:rPr>
              <w:t>260,</w:t>
            </w:r>
            <w:r w:rsidR="005B7C9F" w:rsidRPr="00031651">
              <w:rPr>
                <w:rFonts w:ascii="Times New Roman" w:hAnsi="Times New Roman" w:cs="Times New Roman"/>
                <w:sz w:val="24"/>
                <w:szCs w:val="24"/>
                <w:lang w:val="ro-RO"/>
              </w:rPr>
              <w:t xml:space="preserve"> </w:t>
            </w:r>
            <w:r w:rsidR="00E17D41" w:rsidRPr="00031651">
              <w:rPr>
                <w:rFonts w:ascii="Times New Roman" w:hAnsi="Times New Roman" w:cs="Times New Roman"/>
                <w:sz w:val="24"/>
                <w:szCs w:val="24"/>
                <w:lang w:val="ro-RO"/>
              </w:rPr>
              <w:t>263, 278, 282</w:t>
            </w:r>
          </w:p>
        </w:tc>
        <w:tc>
          <w:tcPr>
            <w:tcW w:w="1559" w:type="dxa"/>
          </w:tcPr>
          <w:p w14:paraId="4D8AF99E" w14:textId="271BFED0" w:rsidR="000520F9" w:rsidRPr="00031651" w:rsidRDefault="007B52FE" w:rsidP="007C15D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Dreptul la viață, proteste, gaz lacrimo</w:t>
            </w:r>
            <w:r w:rsidR="00AE27B7" w:rsidRPr="00031651">
              <w:rPr>
                <w:rFonts w:ascii="Times New Roman" w:hAnsi="Times New Roman" w:cs="Times New Roman"/>
                <w:sz w:val="24"/>
                <w:szCs w:val="24"/>
                <w:lang w:val="ro-RO"/>
              </w:rPr>
              <w:t>gen, moșteni</w:t>
            </w:r>
            <w:r w:rsidR="0019799A" w:rsidRPr="00031651">
              <w:rPr>
                <w:rFonts w:ascii="Times New Roman" w:hAnsi="Times New Roman" w:cs="Times New Roman"/>
                <w:sz w:val="24"/>
                <w:szCs w:val="24"/>
                <w:lang w:val="ro-RO"/>
              </w:rPr>
              <w:t xml:space="preserve">tori în </w:t>
            </w:r>
            <w:r w:rsidR="0019799A" w:rsidRPr="00031651">
              <w:rPr>
                <w:rFonts w:ascii="Times New Roman" w:hAnsi="Times New Roman" w:cs="Times New Roman"/>
                <w:sz w:val="24"/>
                <w:szCs w:val="24"/>
                <w:lang w:val="ro-RO"/>
              </w:rPr>
              <w:lastRenderedPageBreak/>
              <w:t xml:space="preserve">drepturi, </w:t>
            </w:r>
            <w:r w:rsidR="0038564C" w:rsidRPr="00031651">
              <w:rPr>
                <w:rFonts w:ascii="Times New Roman" w:hAnsi="Times New Roman" w:cs="Times New Roman"/>
                <w:sz w:val="24"/>
                <w:szCs w:val="24"/>
                <w:lang w:val="ro-RO"/>
              </w:rPr>
              <w:t>rezonanță, poliția nepregătită psihologic</w:t>
            </w:r>
            <w:r w:rsidR="005C42DE" w:rsidRPr="00031651">
              <w:rPr>
                <w:rFonts w:ascii="Times New Roman" w:hAnsi="Times New Roman" w:cs="Times New Roman"/>
                <w:sz w:val="24"/>
                <w:szCs w:val="24"/>
                <w:lang w:val="ro-RO"/>
              </w:rPr>
              <w:t>, utilizarea forței absolut necesară</w:t>
            </w:r>
          </w:p>
        </w:tc>
        <w:tc>
          <w:tcPr>
            <w:tcW w:w="6804" w:type="dxa"/>
          </w:tcPr>
          <w:p w14:paraId="5D0C4176" w14:textId="77777777" w:rsidR="000520F9" w:rsidRPr="00031651" w:rsidRDefault="007A40B7"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lastRenderedPageBreak/>
              <w:t xml:space="preserve">167. </w:t>
            </w:r>
            <w:r w:rsidRPr="00031651">
              <w:rPr>
                <w:rFonts w:ascii="Times New Roman" w:hAnsi="Times New Roman" w:cs="Times New Roman"/>
                <w:sz w:val="24"/>
                <w:szCs w:val="24"/>
              </w:rPr>
              <w:t xml:space="preserve">Curtea consideră că plângerea referitoare la aspectul procedural al art.2 </w:t>
            </w:r>
            <w:r w:rsidR="00E33950" w:rsidRPr="00031651">
              <w:rPr>
                <w:rFonts w:ascii="Times New Roman" w:hAnsi="Times New Roman" w:cs="Times New Roman"/>
                <w:sz w:val="24"/>
                <w:szCs w:val="24"/>
              </w:rPr>
              <w:t>absoarbe</w:t>
            </w:r>
            <w:r w:rsidRPr="00031651">
              <w:rPr>
                <w:rFonts w:ascii="Times New Roman" w:hAnsi="Times New Roman" w:cs="Times New Roman"/>
                <w:sz w:val="24"/>
                <w:szCs w:val="24"/>
              </w:rPr>
              <w:t xml:space="preserve"> plângerea întemeiată </w:t>
            </w:r>
            <w:r w:rsidR="00E33950" w:rsidRPr="00031651">
              <w:rPr>
                <w:rFonts w:ascii="Times New Roman" w:hAnsi="Times New Roman" w:cs="Times New Roman"/>
                <w:sz w:val="24"/>
                <w:szCs w:val="24"/>
              </w:rPr>
              <w:t xml:space="preserve">pe art.13.  </w:t>
            </w:r>
          </w:p>
          <w:p w14:paraId="49866861" w14:textId="13F706E0" w:rsidR="00571B45" w:rsidRPr="00031651" w:rsidRDefault="00571B45" w:rsidP="00571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175</w:t>
            </w:r>
            <w:r w:rsidRPr="00031651">
              <w:rPr>
                <w:rFonts w:ascii="Times New Roman" w:hAnsi="Times New Roman" w:cs="Times New Roman"/>
                <w:sz w:val="24"/>
                <w:szCs w:val="24"/>
              </w:rPr>
              <w:t>.</w:t>
            </w:r>
            <w:r w:rsidRPr="00031651">
              <w:rPr>
                <w:rFonts w:ascii="Times New Roman" w:hAnsi="Times New Roman" w:cs="Times New Roman"/>
                <w:sz w:val="24"/>
                <w:szCs w:val="24"/>
              </w:rPr>
              <w:tab/>
              <w:t xml:space="preserve">Curtea observă, în continuare, că excepția Guvernului privind presupusa neîndeplinire de către reclamanți a termenului de șase luni se bazează, în esență, pe argumentul că cererile au fost </w:t>
            </w:r>
            <w:r w:rsidRPr="00031651">
              <w:rPr>
                <w:rFonts w:ascii="Times New Roman" w:hAnsi="Times New Roman" w:cs="Times New Roman"/>
                <w:sz w:val="24"/>
                <w:szCs w:val="24"/>
              </w:rPr>
              <w:lastRenderedPageBreak/>
              <w:t>depuse prea devreme, în timp ce ancheta era în desfășurare, și erau astfel premature.</w:t>
            </w:r>
          </w:p>
          <w:p w14:paraId="73AF543B" w14:textId="77777777" w:rsidR="00571B45" w:rsidRPr="00031651" w:rsidRDefault="00571B45" w:rsidP="00571B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Curtea consideră că această chestiune este strâns legată de fondul cauzei, respectiv de lipsa unei anchete efective, și, prin urmare, va fi unită cu fondul.</w:t>
            </w:r>
          </w:p>
          <w:p w14:paraId="4CFB0B23" w14:textId="77777777" w:rsidR="00D3164F" w:rsidRPr="00031651" w:rsidRDefault="00D3164F" w:rsidP="00D3164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194</w:t>
            </w:r>
            <w:r w:rsidRPr="00031651">
              <w:rPr>
                <w:rFonts w:ascii="Times New Roman" w:hAnsi="Times New Roman" w:cs="Times New Roman"/>
                <w:sz w:val="24"/>
                <w:szCs w:val="24"/>
              </w:rPr>
              <w:t>. Excepțiile prevăzute în paragraful 2 indică faptul că articolul 2 se aplică, dar nu se limitează, la cazurile de omor intenționat. Textul articolului 2, citit în ansamblu, arată că paragraful 2 nu definește în primul rând situațiile în care este permis să se ucidă intenționat o persoană, ci descrie situațiile în care este permisă folosirea forței care poate avea ca rezultat, ca efect neintenționat, privarea de viață.</w:t>
            </w:r>
          </w:p>
          <w:p w14:paraId="47E21BBE" w14:textId="16A2B429" w:rsidR="00E62D02" w:rsidRPr="00031651" w:rsidRDefault="00D3164F" w:rsidP="00E62D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Totuși, folosirea forței trebuie să fie nu mai mult decât „absolut necesară” pentru atingerea unuia dintre scopurile prevăzute la paragraful alin.2 lit. (a), (b).</w:t>
            </w:r>
            <w:r w:rsidR="00E62D02" w:rsidRPr="00031651">
              <w:rPr>
                <w:rFonts w:ascii="Times New Roman" w:hAnsi="Times New Roman" w:cs="Times New Roman"/>
              </w:rPr>
              <w:t xml:space="preserve"> </w:t>
            </w:r>
            <w:r w:rsidR="00E62D02" w:rsidRPr="00031651">
              <w:rPr>
                <w:rFonts w:ascii="Times New Roman" w:hAnsi="Times New Roman" w:cs="Times New Roman"/>
                <w:sz w:val="24"/>
                <w:szCs w:val="24"/>
              </w:rPr>
              <w:t>Expresia „absolut necesară” impune un test mai strict și mai imperativ decât cel aplicat de obicei în analiza proporționalității ingerințelor în temeiul articolelor 8–11. În special, forța utilizată trebuie să fie strict proporțională scopurilor prevăzute la articolul 2 § 2 lit. (a)-(c).</w:t>
            </w:r>
          </w:p>
          <w:p w14:paraId="372D2ACC" w14:textId="1777833E" w:rsidR="0093056B" w:rsidRPr="00031651" w:rsidRDefault="00E62D02" w:rsidP="00E62D0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195</w:t>
            </w:r>
            <w:r w:rsidRPr="00031651">
              <w:rPr>
                <w:rFonts w:ascii="Times New Roman" w:hAnsi="Times New Roman" w:cs="Times New Roman"/>
                <w:sz w:val="24"/>
                <w:szCs w:val="24"/>
              </w:rPr>
              <w:t>. Articolul 2 § 1 nu doar interzice statului privarea intenționată și ilegală de viață, ci îi impune și obligația pozitivă de a lua măsuri adecvate pentru protejarea vieții persoanelor aflate sub jurisdicția sa. Această obligație presupune, în special, existența unui cadru juridic și administrativ adecvat, care să definească circumstanțele limitative în care forțele de ordine pot utiliza forța și armele de foc, în conformitate cu standardele internaționale relevante .</w:t>
            </w:r>
          </w:p>
          <w:p w14:paraId="543A4DE3" w14:textId="77777777" w:rsidR="000024AE" w:rsidRPr="00031651" w:rsidRDefault="000024AE" w:rsidP="000024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196</w:t>
            </w:r>
            <w:r w:rsidRPr="00031651">
              <w:rPr>
                <w:rFonts w:ascii="Times New Roman" w:hAnsi="Times New Roman" w:cs="Times New Roman"/>
                <w:sz w:val="24"/>
                <w:szCs w:val="24"/>
              </w:rPr>
              <w:t>. Deși articolul 2 permite, în anumite circumstanțe, folosirea forței letale, acesta nu conferă un „carte blanche”.</w:t>
            </w:r>
          </w:p>
          <w:p w14:paraId="22FDC2E8" w14:textId="11752A40" w:rsidR="00D3164F" w:rsidRPr="00031651" w:rsidRDefault="000024AE" w:rsidP="000024A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 xml:space="preserve">Acțiunea necontrolată sau arbitrară a agenților statului este incompatibilă cu respectarea efectivă a drepturilor omului. Operarea polițienească trebuie să fie reglementată suficient prin lege, în cadrul unui sistem de garanții adecvate și eficiente împotriva arbitrariului, abuzului de forță și chiar împotriva accidentelor evitabile. Astfel, Curtea trebuie să efectueze o examinare atentă nu doar a acțiunilor agenților statului care au utilizat forța, ci și a </w:t>
            </w:r>
            <w:r w:rsidRPr="00031651">
              <w:rPr>
                <w:rFonts w:ascii="Times New Roman" w:hAnsi="Times New Roman" w:cs="Times New Roman"/>
                <w:sz w:val="24"/>
                <w:szCs w:val="24"/>
              </w:rPr>
              <w:lastRenderedPageBreak/>
              <w:t>circumstanțelor generale, inclusiv planificarea și controlul operațiunii, pentru a stabili dacă autoritățile au luat măsuri adecvate pentru minimizarea riscurilor pentru viață</w:t>
            </w:r>
            <w:r w:rsidR="007C15D2" w:rsidRPr="00031651">
              <w:rPr>
                <w:rFonts w:ascii="Times New Roman" w:hAnsi="Times New Roman" w:cs="Times New Roman"/>
                <w:sz w:val="24"/>
                <w:szCs w:val="24"/>
              </w:rPr>
              <w:t>.</w:t>
            </w:r>
          </w:p>
          <w:p w14:paraId="3B132914" w14:textId="03B4E702" w:rsidR="00E86D05" w:rsidRPr="00031651" w:rsidRDefault="00E86D05" w:rsidP="00E86D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197</w:t>
            </w:r>
            <w:r w:rsidRPr="00031651">
              <w:rPr>
                <w:rFonts w:ascii="Times New Roman" w:hAnsi="Times New Roman" w:cs="Times New Roman"/>
                <w:sz w:val="24"/>
                <w:szCs w:val="24"/>
              </w:rPr>
              <w:t>. În acest sens, oficialii de ordine publică nu trebuie să acționeze într-un vid normativ: cadrul juridic și administrativ trebuie să definească clar circumstanțele în care pot fi utilizate forța și armele de foc, conform standardelor internaționale</w:t>
            </w:r>
            <w:r w:rsidR="007C15D2" w:rsidRPr="00031651">
              <w:rPr>
                <w:rFonts w:ascii="Times New Roman" w:hAnsi="Times New Roman" w:cs="Times New Roman"/>
                <w:sz w:val="24"/>
                <w:szCs w:val="24"/>
              </w:rPr>
              <w:t xml:space="preserve">. </w:t>
            </w:r>
          </w:p>
          <w:p w14:paraId="1E3115C2" w14:textId="23288098" w:rsidR="00E86D05" w:rsidRPr="00031651" w:rsidRDefault="00E86D05" w:rsidP="00E86D0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În particular, agenții statului trebuie instruiți astfel încât să poată evalua necesitatea absolută a utilizării armelor de foc, nu doar formal, ci având în vedere primordialitatea vieții umane</w:t>
            </w:r>
            <w:r w:rsidR="007C15D2" w:rsidRPr="00031651">
              <w:rPr>
                <w:rFonts w:ascii="Times New Roman" w:hAnsi="Times New Roman" w:cs="Times New Roman"/>
                <w:sz w:val="24"/>
                <w:szCs w:val="24"/>
              </w:rPr>
              <w:t>.</w:t>
            </w:r>
          </w:p>
          <w:p w14:paraId="019A3B9C" w14:textId="4F22FFA6" w:rsidR="00D501EC" w:rsidRPr="00031651" w:rsidRDefault="00D501EC" w:rsidP="00D501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212</w:t>
            </w:r>
            <w:r w:rsidRPr="00031651">
              <w:rPr>
                <w:rFonts w:ascii="Times New Roman" w:hAnsi="Times New Roman" w:cs="Times New Roman"/>
                <w:sz w:val="24"/>
                <w:szCs w:val="24"/>
              </w:rPr>
              <w:t>. Trecând la aspectele privind planificarea și controlul operațiunii polițienești, Curtea observă, mai întâi, că Guvernul nu a prezentat niciun document referitor la planificarea acestei operațiuni și a furnizat, în mare parte, doar informații generale, ceea ce limitează capacitatea Curții de a evalua în mod aprofundat modul în care operațiunea a fost planificată și executată</w:t>
            </w:r>
            <w:r w:rsidR="005B7C9F" w:rsidRPr="00031651">
              <w:rPr>
                <w:rFonts w:ascii="Times New Roman" w:hAnsi="Times New Roman" w:cs="Times New Roman"/>
                <w:sz w:val="24"/>
                <w:szCs w:val="24"/>
              </w:rPr>
              <w:t>.</w:t>
            </w:r>
          </w:p>
          <w:p w14:paraId="1024DEF3" w14:textId="77777777" w:rsidR="00E86D05" w:rsidRPr="00031651" w:rsidRDefault="00D501EC" w:rsidP="00D501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Este totuși evident că doar intervenția poliției din dimineața zilei de 1 martie 2008 în Piața Libertății a fost o operațiune preplanificată, în timp ce utilizarea forței care a condus la moartea rudelor reclamanților a avut loc mai târziu în cursul acelei zile, pe fondul unor evenimente care s-au desfășurat spontan.</w:t>
            </w:r>
            <w:r w:rsidR="00B83D3D" w:rsidRPr="00031651">
              <w:rPr>
                <w:rFonts w:ascii="Times New Roman" w:hAnsi="Times New Roman" w:cs="Times New Roman"/>
                <w:sz w:val="24"/>
                <w:szCs w:val="24"/>
              </w:rPr>
              <w:t xml:space="preserve"> Curtea a statuat anterior că, în situațiile în care necesitatea de a recurge la forță potențial letală apare ca o consecință a unei serii de decizii și măsuri luate de un ofițer de poliție, aceste decizii angajează răspunderea statului în aceeași măsură ca planificarea și controlul unei operațiuni polițienești. </w:t>
            </w:r>
          </w:p>
          <w:p w14:paraId="22ED2C6C" w14:textId="77777777" w:rsidR="009D488B" w:rsidRPr="00031651" w:rsidRDefault="009D488B" w:rsidP="00D501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220</w:t>
            </w:r>
            <w:r w:rsidRPr="00031651">
              <w:rPr>
                <w:rFonts w:ascii="Times New Roman" w:hAnsi="Times New Roman" w:cs="Times New Roman"/>
                <w:sz w:val="24"/>
                <w:szCs w:val="24"/>
              </w:rPr>
              <w:t>. În acest sens, Curtea observă, în primul rând, că la momentul relevant, legislația armeană nu conținea dispoziții specifice privind utilizarea mijloacelor speciale, inclusiv a grenadelor lacrimogene Cheremukha-7, și nu stabilea instrucțiuni privind utilizarea acestora.</w:t>
            </w:r>
          </w:p>
          <w:p w14:paraId="04F4D705" w14:textId="77777777" w:rsidR="00854AF2" w:rsidRPr="00031651" w:rsidRDefault="00854AF2" w:rsidP="00D501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248</w:t>
            </w:r>
            <w:r w:rsidRPr="00031651">
              <w:rPr>
                <w:rFonts w:ascii="Times New Roman" w:hAnsi="Times New Roman" w:cs="Times New Roman"/>
                <w:sz w:val="24"/>
                <w:szCs w:val="24"/>
              </w:rPr>
              <w:t xml:space="preserve">. Curtea reiterează că obligația de a proteja dreptul la viață prevăzut de articolul 2 al Convenției, citit în conjuncție cu datoria generală a statului în temeiul articolului 1 de a „asigura tuturor persoanelor aflate sub jurisdicția sa drepturile și libertățile” definite </w:t>
            </w:r>
            <w:r w:rsidRPr="00031651">
              <w:rPr>
                <w:rFonts w:ascii="Times New Roman" w:hAnsi="Times New Roman" w:cs="Times New Roman"/>
                <w:sz w:val="24"/>
                <w:szCs w:val="24"/>
              </w:rPr>
              <w:lastRenderedPageBreak/>
              <w:t xml:space="preserve">în Convenție, implică în mod necesar existența unei anchete oficiale efective atunci când persoane au fost ucise ca urmare a folosirii forței, printre altele, de către agenți ai statului. </w:t>
            </w:r>
          </w:p>
          <w:p w14:paraId="300A4D2E" w14:textId="77777777" w:rsidR="00644CAA" w:rsidRPr="00031651" w:rsidRDefault="00644CAA" w:rsidP="00D501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252</w:t>
            </w:r>
            <w:r w:rsidRPr="00031651">
              <w:rPr>
                <w:rFonts w:ascii="Times New Roman" w:hAnsi="Times New Roman" w:cs="Times New Roman"/>
                <w:sz w:val="24"/>
                <w:szCs w:val="24"/>
              </w:rPr>
              <w:t>. În plus, ancheta trebuie să fie accesibilă familiei victimei în măsura necesară protejării intereselor sale legitime. De asemenea, trebuie să existe un element suficient de control public, al cărui grad poate varia de la caz la caz.</w:t>
            </w:r>
          </w:p>
          <w:p w14:paraId="51827BD3" w14:textId="2278FCB4" w:rsidR="00797201" w:rsidRPr="00031651" w:rsidRDefault="00797201" w:rsidP="007972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257</w:t>
            </w:r>
            <w:r w:rsidRPr="00031651">
              <w:rPr>
                <w:rFonts w:ascii="Times New Roman" w:hAnsi="Times New Roman" w:cs="Times New Roman"/>
                <w:sz w:val="24"/>
                <w:szCs w:val="24"/>
              </w:rPr>
              <w:t>. În ceea ce privește măsurile concrete întreprinse în cursul investigației, Curtea observă că, în pofida instrucțiunilor Procurorului General din 7 martie 2008, foarte puține acțiuni au fost întreprinse pentru identificarea celor responsabili și a circumstanțelor exacte ale deceselor. Chiar și puținele măsuri desfășurate, cum ar fi autopsiile și expertizele balistice, în afara deficiențelor deja menționate, nu au fost urmate de evaluări și măsuri suplimentare adecvate.</w:t>
            </w:r>
          </w:p>
          <w:p w14:paraId="6F5E5FFA" w14:textId="7A14FFAA" w:rsidR="001560C6" w:rsidRPr="00031651" w:rsidRDefault="001560C6" w:rsidP="007972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258</w:t>
            </w:r>
            <w:r w:rsidRPr="00031651">
              <w:rPr>
                <w:rFonts w:ascii="Times New Roman" w:hAnsi="Times New Roman" w:cs="Times New Roman"/>
                <w:sz w:val="24"/>
                <w:szCs w:val="24"/>
              </w:rPr>
              <w:t xml:space="preserve">. </w:t>
            </w:r>
            <w:r w:rsidR="005B7C9F" w:rsidRPr="00031651">
              <w:rPr>
                <w:rFonts w:ascii="Times New Roman" w:hAnsi="Times New Roman" w:cs="Times New Roman"/>
                <w:sz w:val="24"/>
                <w:szCs w:val="24"/>
              </w:rPr>
              <w:t>Curtea subliniază în special următoarele , î</w:t>
            </w:r>
            <w:r w:rsidRPr="00031651">
              <w:rPr>
                <w:rFonts w:ascii="Times New Roman" w:hAnsi="Times New Roman" w:cs="Times New Roman"/>
                <w:sz w:val="24"/>
                <w:szCs w:val="24"/>
              </w:rPr>
              <w:t>n ceea ce privește trei dintre decesele cauzate de impactul grenadelor lacrimogene Cheremukha-7, existau doar patru militari ai trupelor de poliție echipați cu astfel de arme de dispersare, iar identitatea acestora trebuia să fie cunoscută autorităților. Cu toate acestea, a fost necesar un an și patru luni pentru identificarea și punerea sub acuzare a acestora, întârziere ce poate bine să fi condus la pierderea unor probe. Guvernul nu a prezentat nicio documentație referitoare la acest dosar penal.</w:t>
            </w:r>
          </w:p>
          <w:p w14:paraId="73BC160C" w14:textId="03DA4AAA" w:rsidR="00BC50E3" w:rsidRPr="00031651" w:rsidRDefault="009D6E78" w:rsidP="007972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259</w:t>
            </w:r>
            <w:r w:rsidRPr="00031651">
              <w:rPr>
                <w:rFonts w:ascii="Times New Roman" w:hAnsi="Times New Roman" w:cs="Times New Roman"/>
                <w:sz w:val="24"/>
                <w:szCs w:val="24"/>
              </w:rPr>
              <w:t>. În ceea ce privește decesele cauzate prin folosirea muniției reale, Curtea observă că nu s-a desfășurat aproape nicio investigație privind utilizarea armelor de foc în timpul dispersării manifestațiilor. Materialul dosarului arată că forțele de ordine au folosit, în principal, două tipuri de arme: puști automate AK-74 cu muniție de calibrul 5,45 mm și pistoale Makarov de calibrul 9 mm. Deși ancheta a stabilit numărul de puști AK-74 și de cartușe trase, nu a existat nicio verificare echivalentă privind pistoalele Makarov folosite de poliția obișnuită. Rezultatul este că dosarul nu conține nicio informație privind utilizarea acestor arme.</w:t>
            </w:r>
          </w:p>
          <w:p w14:paraId="01D19A98" w14:textId="77777777" w:rsidR="006059CB" w:rsidRPr="00031651" w:rsidRDefault="006059CB" w:rsidP="0079720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lastRenderedPageBreak/>
              <w:t>260</w:t>
            </w:r>
            <w:r w:rsidRPr="00031651">
              <w:rPr>
                <w:rFonts w:ascii="Times New Roman" w:hAnsi="Times New Roman" w:cs="Times New Roman"/>
                <w:sz w:val="24"/>
                <w:szCs w:val="24"/>
              </w:rPr>
              <w:t xml:space="preserve">. În orice caz, nu reiese că autoritățile au încercat să identifice și audieze în mod efectiv militarii și polițiștii care au purtat și folosit aceste arme. </w:t>
            </w:r>
          </w:p>
          <w:p w14:paraId="4107B55E" w14:textId="022D6ABE" w:rsidR="007C5284" w:rsidRPr="00031651" w:rsidRDefault="00E10380" w:rsidP="007C52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263</w:t>
            </w:r>
            <w:r w:rsidRPr="00031651">
              <w:rPr>
                <w:rFonts w:ascii="Times New Roman" w:hAnsi="Times New Roman" w:cs="Times New Roman"/>
                <w:sz w:val="24"/>
                <w:szCs w:val="24"/>
              </w:rPr>
              <w:t xml:space="preserve">. Reclamanții au susținut, de asemenea, că a lipsit controlul public și posibilitatea participării lor efective la investigație. Curtea observă că aceștia au fost recunoscuți ca moștenitori legali ai victimelor cu întârzieri de cel puțin două până la aproape patru luni. </w:t>
            </w:r>
            <w:r w:rsidR="007C5284" w:rsidRPr="00031651">
              <w:rPr>
                <w:rFonts w:ascii="Times New Roman" w:hAnsi="Times New Roman" w:cs="Times New Roman"/>
                <w:sz w:val="24"/>
                <w:szCs w:val="24"/>
              </w:rPr>
              <w:t>Mai mult, chiar și după recunoașterea lor ca moștenitori legali, acest fapt nu le-a asigurat o participare efectivă. Deși au primit unele rapoarte de expertiză, nu pare să fi fost informați ulterior cu privire la evoluția cauzei, inclusiv a celor două dosare penale deschise în temeiul articolelor 104 și 373 § 3. Prin urmare, timp de doi ani și jumătate înainte de a sesiza Curtea, reclamanții au rămas complet lipsiți de informații cu privire la investigație.</w:t>
            </w:r>
          </w:p>
          <w:p w14:paraId="08C824AF" w14:textId="77777777" w:rsidR="00E10380" w:rsidRPr="00031651" w:rsidRDefault="007C5284" w:rsidP="007C52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Prin urmare, investigația nu a asigurat nici transparență publică, nici protejarea intereselor rudelor victimelor.</w:t>
            </w:r>
          </w:p>
          <w:p w14:paraId="2F6A4D05" w14:textId="77777777" w:rsidR="007C5284" w:rsidRPr="00031651" w:rsidRDefault="0071470B" w:rsidP="007C52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278</w:t>
            </w:r>
            <w:r w:rsidRPr="00031651">
              <w:rPr>
                <w:rFonts w:ascii="Times New Roman" w:hAnsi="Times New Roman" w:cs="Times New Roman"/>
                <w:sz w:val="24"/>
                <w:szCs w:val="24"/>
              </w:rPr>
              <w:t>. Curtea observă, mai întâi, că plângerea reclamanților întemeiată pe articolul 38 privește pretinsa omisiune a Guvernului nu doar de a furniza documentele solicitate în mod expres de Curte, ci și pe cele solicitate de avocații reclamanților. Curtea consideră că, deși ar fi fost, cu siguranță, de dorit ca Guvernul să furnizeze cât mai mult material relevant, contribuind astfel la o examinare completă și minuțioasă a cauzei, nu se poate reține o încălcare a articolului 38 al Convenției doar pe motivul că Guvernul nu și-a susținut toate observațiile cu probe relevante sau nu a dat curs cererilor reclamanților de a divulga anumite materiale</w:t>
            </w:r>
          </w:p>
          <w:p w14:paraId="679704C7" w14:textId="04277086" w:rsidR="00BD0B45" w:rsidRPr="00031651" w:rsidRDefault="00BD0B45" w:rsidP="007C528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282</w:t>
            </w:r>
            <w:r w:rsidRPr="00031651">
              <w:rPr>
                <w:rFonts w:ascii="Times New Roman" w:hAnsi="Times New Roman" w:cs="Times New Roman"/>
                <w:sz w:val="24"/>
                <w:szCs w:val="24"/>
              </w:rPr>
              <w:t>. Având în vedere cele de mai sus și ținând seama de importanța cooperării Guvernului pârât în procedurile în fața Curții, precum și de dificultățile inerente stabilirii faptelor în cauze precum cea de față, Curtea concluzionează că Guvernul Armeniei nu și-a îndeplinit obligațiile care îi revin în temeiul articolului 38 din Convenție, prin faptul că nu a transmis copiile documentelor solicitate și relevante pentru evenimentele din 1 martie 2008.</w:t>
            </w:r>
          </w:p>
        </w:tc>
        <w:tc>
          <w:tcPr>
            <w:tcW w:w="2693" w:type="dxa"/>
          </w:tcPr>
          <w:p w14:paraId="2777C6E0" w14:textId="10B13F37" w:rsidR="00353286" w:rsidRPr="00031651" w:rsidRDefault="0023230E"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r w:rsidRPr="00031651">
              <w:rPr>
                <w:rFonts w:ascii="Times New Roman" w:hAnsi="Times New Roman" w:cs="Times New Roman"/>
                <w:sz w:val="24"/>
                <w:szCs w:val="24"/>
                <w:lang w:val="ro-RO"/>
              </w:rPr>
              <w:lastRenderedPageBreak/>
              <w:t>Violare art.2 (material) în cazul tututo</w:t>
            </w:r>
            <w:r w:rsidR="001A691C" w:rsidRPr="00031651">
              <w:rPr>
                <w:rFonts w:ascii="Times New Roman" w:hAnsi="Times New Roman" w:cs="Times New Roman"/>
                <w:sz w:val="24"/>
                <w:szCs w:val="24"/>
                <w:lang w:val="ro-RO"/>
              </w:rPr>
              <w:t xml:space="preserve">r </w:t>
            </w:r>
            <w:r w:rsidRPr="00031651">
              <w:rPr>
                <w:rFonts w:ascii="Times New Roman" w:hAnsi="Times New Roman" w:cs="Times New Roman"/>
                <w:sz w:val="24"/>
                <w:szCs w:val="24"/>
                <w:lang w:val="ro-RO"/>
              </w:rPr>
              <w:t xml:space="preserve">reclamanților cu exc. </w:t>
            </w:r>
            <w:r w:rsidR="009B74D6" w:rsidRPr="00031651">
              <w:rPr>
                <w:rFonts w:ascii="Times New Roman" w:eastAsia="Times New Roman" w:hAnsi="Times New Roman" w:cs="Times New Roman"/>
                <w:kern w:val="0"/>
                <w:sz w:val="24"/>
                <w:szCs w:val="24"/>
                <w:lang w:eastAsia="ro-MD"/>
                <w14:ligatures w14:val="none"/>
              </w:rPr>
              <w:t xml:space="preserve">Samvel Harutyunyan (cererea nr. 16055/11) și </w:t>
            </w:r>
            <w:r w:rsidR="009B74D6" w:rsidRPr="00031651">
              <w:rPr>
                <w:rFonts w:ascii="Times New Roman" w:eastAsia="Times New Roman" w:hAnsi="Times New Roman" w:cs="Times New Roman"/>
                <w:kern w:val="0"/>
                <w:sz w:val="24"/>
                <w:szCs w:val="24"/>
                <w:lang w:eastAsia="ro-MD"/>
                <w14:ligatures w14:val="none"/>
              </w:rPr>
              <w:lastRenderedPageBreak/>
              <w:t>a lui Zakar Hovhannisyan (cererea nr. 16015/11);</w:t>
            </w:r>
          </w:p>
          <w:p w14:paraId="01127B6B" w14:textId="66A99453" w:rsidR="009B74D6" w:rsidRPr="00031651" w:rsidRDefault="001A691C"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r w:rsidRPr="00031651">
              <w:rPr>
                <w:rFonts w:ascii="Times New Roman" w:eastAsia="Times New Roman" w:hAnsi="Times New Roman" w:cs="Times New Roman"/>
                <w:kern w:val="0"/>
                <w:sz w:val="24"/>
                <w:szCs w:val="24"/>
                <w:lang w:eastAsia="ro-MD"/>
                <w14:ligatures w14:val="none"/>
              </w:rPr>
              <w:t xml:space="preserve">(probe </w:t>
            </w:r>
            <w:r w:rsidR="00E17D41" w:rsidRPr="00031651">
              <w:rPr>
                <w:rFonts w:ascii="Times New Roman" w:eastAsia="Times New Roman" w:hAnsi="Times New Roman" w:cs="Times New Roman"/>
                <w:kern w:val="0"/>
                <w:sz w:val="24"/>
                <w:szCs w:val="24"/>
                <w:lang w:eastAsia="ro-MD"/>
                <w14:ligatures w14:val="none"/>
              </w:rPr>
              <w:t>insuficiente</w:t>
            </w:r>
            <w:r w:rsidRPr="00031651">
              <w:rPr>
                <w:rFonts w:ascii="Times New Roman" w:eastAsia="Times New Roman" w:hAnsi="Times New Roman" w:cs="Times New Roman"/>
                <w:kern w:val="0"/>
                <w:sz w:val="24"/>
                <w:szCs w:val="24"/>
                <w:lang w:eastAsia="ro-MD"/>
                <w14:ligatures w14:val="none"/>
              </w:rPr>
              <w:t>)</w:t>
            </w:r>
          </w:p>
          <w:p w14:paraId="7928CDFC" w14:textId="77777777" w:rsidR="009B74D6" w:rsidRPr="00031651" w:rsidRDefault="009B74D6"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p>
          <w:p w14:paraId="600C8489" w14:textId="77777777" w:rsidR="009B74D6" w:rsidRPr="00031651" w:rsidRDefault="009B74D6"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r w:rsidRPr="00031651">
              <w:rPr>
                <w:rFonts w:ascii="Times New Roman" w:eastAsia="Times New Roman" w:hAnsi="Times New Roman" w:cs="Times New Roman"/>
                <w:kern w:val="0"/>
                <w:sz w:val="24"/>
                <w:szCs w:val="24"/>
                <w:lang w:eastAsia="ro-MD"/>
                <w14:ligatures w14:val="none"/>
              </w:rPr>
              <w:t>Violare art.2 (procedural)</w:t>
            </w:r>
          </w:p>
          <w:p w14:paraId="0DC4156B" w14:textId="77777777" w:rsidR="009B74D6" w:rsidRPr="00031651" w:rsidRDefault="009B74D6"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p>
          <w:p w14:paraId="5CF4CDDC" w14:textId="77777777" w:rsidR="003C2AC6" w:rsidRPr="00031651" w:rsidRDefault="009B74D6"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r w:rsidRPr="00031651">
              <w:rPr>
                <w:rFonts w:ascii="Times New Roman" w:eastAsia="Times New Roman" w:hAnsi="Times New Roman" w:cs="Times New Roman"/>
                <w:kern w:val="0"/>
                <w:sz w:val="24"/>
                <w:szCs w:val="24"/>
                <w:lang w:eastAsia="ro-MD"/>
                <w14:ligatures w14:val="none"/>
              </w:rPr>
              <w:t>30 000 EUR</w:t>
            </w:r>
          </w:p>
          <w:p w14:paraId="51172FB7" w14:textId="77777777" w:rsidR="009B74D6" w:rsidRPr="00031651" w:rsidRDefault="003C2AC6"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r w:rsidRPr="00031651">
              <w:rPr>
                <w:rFonts w:ascii="Times New Roman" w:eastAsia="Times New Roman" w:hAnsi="Times New Roman" w:cs="Times New Roman"/>
                <w:kern w:val="0"/>
                <w:sz w:val="24"/>
                <w:szCs w:val="24"/>
                <w:lang w:eastAsia="ro-MD"/>
                <w14:ligatures w14:val="none"/>
              </w:rPr>
              <w:t>(</w:t>
            </w:r>
            <w:r w:rsidR="005F7DCB" w:rsidRPr="00031651">
              <w:rPr>
                <w:rFonts w:ascii="Times New Roman" w:eastAsia="Times New Roman" w:hAnsi="Times New Roman" w:cs="Times New Roman"/>
                <w:kern w:val="0"/>
                <w:sz w:val="24"/>
                <w:szCs w:val="24"/>
                <w:lang w:eastAsia="ro-MD"/>
                <w14:ligatures w14:val="none"/>
              </w:rPr>
              <w:t>prejudiciul moral fiecare cerere</w:t>
            </w:r>
            <w:r w:rsidRPr="00031651">
              <w:rPr>
                <w:rFonts w:ascii="Times New Roman" w:eastAsia="Times New Roman" w:hAnsi="Times New Roman" w:cs="Times New Roman"/>
                <w:kern w:val="0"/>
                <w:sz w:val="24"/>
                <w:szCs w:val="24"/>
                <w:lang w:eastAsia="ro-MD"/>
                <w14:ligatures w14:val="none"/>
              </w:rPr>
              <w:t>)</w:t>
            </w:r>
          </w:p>
          <w:p w14:paraId="4EBD3CAC" w14:textId="77777777" w:rsidR="005F7DCB" w:rsidRPr="00031651" w:rsidRDefault="005F7DCB" w:rsidP="0035328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ro-MD"/>
                <w14:ligatures w14:val="none"/>
              </w:rPr>
            </w:pPr>
          </w:p>
          <w:p w14:paraId="279F3317" w14:textId="2976D8CD" w:rsidR="005F7DCB" w:rsidRPr="00031651" w:rsidRDefault="005F7DCB" w:rsidP="0035328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eastAsia="Times New Roman" w:hAnsi="Times New Roman" w:cs="Times New Roman"/>
                <w:kern w:val="0"/>
                <w:sz w:val="24"/>
                <w:szCs w:val="24"/>
                <w:lang w:eastAsia="ro-MD"/>
                <w14:ligatures w14:val="none"/>
              </w:rPr>
              <w:t xml:space="preserve">35 000 EUR </w:t>
            </w:r>
            <w:r w:rsidR="00785A8E" w:rsidRPr="00031651">
              <w:rPr>
                <w:rFonts w:ascii="Times New Roman" w:eastAsia="Times New Roman" w:hAnsi="Times New Roman" w:cs="Times New Roman"/>
                <w:kern w:val="0"/>
                <w:sz w:val="24"/>
                <w:szCs w:val="24"/>
                <w:lang w:eastAsia="ro-MD"/>
                <w14:ligatures w14:val="none"/>
              </w:rPr>
              <w:t>(în comun, cheltuieli de judecată)</w:t>
            </w:r>
          </w:p>
        </w:tc>
      </w:tr>
      <w:tr w:rsidR="009E4369" w:rsidRPr="00031651" w14:paraId="0492EA86"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4BFAEA95" w14:textId="77777777" w:rsidR="0052559B" w:rsidRPr="00031651" w:rsidRDefault="00470CFE" w:rsidP="0052559B">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3</w:t>
            </w:r>
          </w:p>
          <w:p w14:paraId="2EB85441" w14:textId="77777777" w:rsidR="0052559B" w:rsidRPr="00031651" w:rsidRDefault="0052559B" w:rsidP="0052559B">
            <w:pPr>
              <w:jc w:val="center"/>
              <w:rPr>
                <w:rFonts w:ascii="Times New Roman" w:hAnsi="Times New Roman" w:cs="Times New Roman"/>
                <w:sz w:val="24"/>
                <w:szCs w:val="24"/>
                <w:lang w:val="ro-RO"/>
              </w:rPr>
            </w:pPr>
          </w:p>
          <w:p w14:paraId="1575D771" w14:textId="70851A40" w:rsidR="0052559B" w:rsidRPr="00031651" w:rsidRDefault="0052559B" w:rsidP="0052559B">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8</w:t>
            </w:r>
          </w:p>
        </w:tc>
        <w:tc>
          <w:tcPr>
            <w:tcW w:w="1525" w:type="dxa"/>
          </w:tcPr>
          <w:p w14:paraId="7F0C1B48" w14:textId="77777777" w:rsidR="009E4369" w:rsidRPr="00031651" w:rsidRDefault="0052559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Obligații </w:t>
            </w:r>
            <w:r w:rsidRPr="00031651">
              <w:rPr>
                <w:rFonts w:ascii="Times New Roman" w:hAnsi="Times New Roman" w:cs="Times New Roman"/>
                <w:sz w:val="24"/>
                <w:szCs w:val="24"/>
                <w:lang w:val="ro-RO"/>
              </w:rPr>
              <w:lastRenderedPageBreak/>
              <w:t>poitive</w:t>
            </w:r>
          </w:p>
          <w:p w14:paraId="50D7A869" w14:textId="77777777" w:rsidR="00FD1309" w:rsidRPr="00031651" w:rsidRDefault="00FD130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4D6B5CF" w14:textId="1FC46CFE" w:rsidR="00FD1309" w:rsidRPr="00031651" w:rsidRDefault="0027052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Anchetă ineficientă</w:t>
            </w:r>
          </w:p>
        </w:tc>
        <w:tc>
          <w:tcPr>
            <w:tcW w:w="1633" w:type="dxa"/>
          </w:tcPr>
          <w:p w14:paraId="6CBC4A03" w14:textId="06AC4EEE" w:rsidR="003965A8" w:rsidRPr="00031651" w:rsidRDefault="00F0331B" w:rsidP="000316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40312</w:t>
            </w:r>
            <w:r w:rsidR="008B5A3A" w:rsidRPr="00031651">
              <w:rPr>
                <w:rFonts w:ascii="Times New Roman" w:hAnsi="Times New Roman" w:cs="Times New Roman"/>
                <w:sz w:val="24"/>
                <w:szCs w:val="24"/>
                <w:lang w:val="ro-RO"/>
              </w:rPr>
              <w:t>/23</w:t>
            </w:r>
          </w:p>
          <w:p w14:paraId="4D0B5FE5" w14:textId="44580FCE" w:rsidR="008B5A3A" w:rsidRPr="00031651" w:rsidRDefault="008B5A3A" w:rsidP="000316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40388/23</w:t>
            </w:r>
          </w:p>
          <w:p w14:paraId="05FAF634" w14:textId="269294F2" w:rsidR="003965A8" w:rsidRPr="00031651" w:rsidRDefault="008B5A3A" w:rsidP="000316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23/10/2025</w:t>
            </w:r>
          </w:p>
          <w:p w14:paraId="041DA5EF" w14:textId="649784E3" w:rsidR="005059DD" w:rsidRPr="00031651" w:rsidRDefault="005059DD" w:rsidP="0003165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A.J și L.E </w:t>
            </w:r>
            <w:r w:rsidR="00E17D41" w:rsidRPr="00031651">
              <w:rPr>
                <w:rFonts w:ascii="Times New Roman" w:hAnsi="Times New Roman" w:cs="Times New Roman"/>
                <w:sz w:val="24"/>
                <w:szCs w:val="24"/>
                <w:lang w:val="ro-RO"/>
              </w:rPr>
              <w:t xml:space="preserve">contra </w:t>
            </w:r>
            <w:r w:rsidRPr="00031651">
              <w:rPr>
                <w:rFonts w:ascii="Times New Roman" w:hAnsi="Times New Roman" w:cs="Times New Roman"/>
                <w:sz w:val="24"/>
                <w:szCs w:val="24"/>
                <w:lang w:val="ro-RO"/>
              </w:rPr>
              <w:t xml:space="preserve"> Spania</w:t>
            </w:r>
          </w:p>
          <w:p w14:paraId="1C09A30A" w14:textId="77777777" w:rsidR="009E4369" w:rsidRPr="00031651" w:rsidRDefault="009E4369" w:rsidP="00A64A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33462264" w14:textId="68117F32" w:rsidR="009E4369" w:rsidRDefault="0025004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90,</w:t>
            </w:r>
            <w:r w:rsidR="00031651">
              <w:rPr>
                <w:rFonts w:ascii="Times New Roman" w:hAnsi="Times New Roman" w:cs="Times New Roman"/>
                <w:sz w:val="24"/>
                <w:szCs w:val="24"/>
                <w:lang w:val="ro-RO"/>
              </w:rPr>
              <w:t xml:space="preserve"> </w:t>
            </w:r>
            <w:r w:rsidRPr="00031651">
              <w:rPr>
                <w:rFonts w:ascii="Times New Roman" w:hAnsi="Times New Roman" w:cs="Times New Roman"/>
                <w:sz w:val="24"/>
                <w:szCs w:val="24"/>
                <w:lang w:val="ro-RO"/>
              </w:rPr>
              <w:t>9</w:t>
            </w:r>
            <w:r w:rsidR="00031651">
              <w:rPr>
                <w:rFonts w:ascii="Times New Roman" w:hAnsi="Times New Roman" w:cs="Times New Roman"/>
                <w:sz w:val="24"/>
                <w:szCs w:val="24"/>
                <w:lang w:val="ro-RO"/>
              </w:rPr>
              <w:t>2</w:t>
            </w:r>
            <w:r w:rsidRPr="00031651">
              <w:rPr>
                <w:rFonts w:ascii="Times New Roman" w:hAnsi="Times New Roman" w:cs="Times New Roman"/>
                <w:sz w:val="24"/>
                <w:szCs w:val="24"/>
                <w:lang w:val="ro-RO"/>
              </w:rPr>
              <w:t>,</w:t>
            </w:r>
            <w:r w:rsidR="003B242F">
              <w:rPr>
                <w:rFonts w:ascii="Times New Roman" w:hAnsi="Times New Roman" w:cs="Times New Roman"/>
                <w:sz w:val="24"/>
                <w:szCs w:val="24"/>
                <w:lang w:val="ro-RO"/>
              </w:rPr>
              <w:t xml:space="preserve"> </w:t>
            </w:r>
            <w:r w:rsidR="00031651">
              <w:rPr>
                <w:rFonts w:ascii="Times New Roman" w:hAnsi="Times New Roman" w:cs="Times New Roman"/>
                <w:sz w:val="24"/>
                <w:szCs w:val="24"/>
                <w:lang w:val="ro-RO"/>
              </w:rPr>
              <w:lastRenderedPageBreak/>
              <w:t xml:space="preserve">93, </w:t>
            </w:r>
          </w:p>
          <w:p w14:paraId="38C06C22" w14:textId="25FFD902" w:rsidR="00031651" w:rsidRPr="00031651" w:rsidRDefault="0003165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96</w:t>
            </w:r>
          </w:p>
        </w:tc>
        <w:tc>
          <w:tcPr>
            <w:tcW w:w="1559" w:type="dxa"/>
          </w:tcPr>
          <w:p w14:paraId="7BDEE765" w14:textId="02498127" w:rsidR="009E4369" w:rsidRPr="00031651" w:rsidRDefault="006C4AF7"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 </w:t>
            </w:r>
            <w:r w:rsidR="00F57626" w:rsidRPr="00031651">
              <w:rPr>
                <w:rFonts w:ascii="Times New Roman" w:hAnsi="Times New Roman" w:cs="Times New Roman"/>
                <w:sz w:val="24"/>
                <w:szCs w:val="24"/>
                <w:lang w:val="ro-RO"/>
              </w:rPr>
              <w:lastRenderedPageBreak/>
              <w:t>substanțe</w:t>
            </w:r>
            <w:r w:rsidR="002218C7" w:rsidRPr="00031651">
              <w:rPr>
                <w:rFonts w:ascii="Times New Roman" w:hAnsi="Times New Roman" w:cs="Times New Roman"/>
                <w:sz w:val="24"/>
                <w:szCs w:val="24"/>
                <w:lang w:val="ro-RO"/>
              </w:rPr>
              <w:t xml:space="preserve"> psihotrope</w:t>
            </w:r>
            <w:r w:rsidR="002C02A7" w:rsidRPr="00031651">
              <w:rPr>
                <w:rFonts w:ascii="Times New Roman" w:hAnsi="Times New Roman" w:cs="Times New Roman"/>
                <w:sz w:val="24"/>
                <w:szCs w:val="24"/>
                <w:lang w:val="ro-RO"/>
              </w:rPr>
              <w:t xml:space="preserve">, </w:t>
            </w:r>
            <w:r w:rsidR="00696C3A" w:rsidRPr="00031651">
              <w:rPr>
                <w:rFonts w:ascii="Times New Roman" w:hAnsi="Times New Roman" w:cs="Times New Roman"/>
                <w:sz w:val="24"/>
                <w:szCs w:val="24"/>
                <w:lang w:val="ro-RO"/>
              </w:rPr>
              <w:t>probe dispărute</w:t>
            </w:r>
            <w:r w:rsidR="00892742" w:rsidRPr="00031651">
              <w:rPr>
                <w:rFonts w:ascii="Times New Roman" w:hAnsi="Times New Roman" w:cs="Times New Roman"/>
                <w:sz w:val="24"/>
                <w:szCs w:val="24"/>
                <w:lang w:val="ro-RO"/>
              </w:rPr>
              <w:t xml:space="preserve">, 5 ani de investigații, </w:t>
            </w:r>
            <w:r w:rsidR="003B7965" w:rsidRPr="00031651">
              <w:rPr>
                <w:rFonts w:ascii="Times New Roman" w:hAnsi="Times New Roman" w:cs="Times New Roman"/>
                <w:sz w:val="24"/>
                <w:szCs w:val="24"/>
                <w:lang w:val="ro-RO"/>
              </w:rPr>
              <w:t>custodia statului</w:t>
            </w:r>
          </w:p>
          <w:p w14:paraId="1E89F917" w14:textId="380BD935" w:rsidR="0034181F" w:rsidRPr="00031651" w:rsidRDefault="0034181F"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9C450CE" w14:textId="77777777" w:rsidR="0034181F" w:rsidRPr="00031651" w:rsidRDefault="0034181F"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FBC9B57" w14:textId="77777777" w:rsidR="0034181F" w:rsidRPr="00031651" w:rsidRDefault="0034181F"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6B5CDE55" w14:textId="77777777" w:rsidR="0034181F" w:rsidRPr="00031651" w:rsidRDefault="0034181F"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FE6B561" w14:textId="77777777" w:rsidR="0034181F" w:rsidRPr="00031651" w:rsidRDefault="0034181F"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4901225A" w14:textId="315FFBC3" w:rsidR="0034181F" w:rsidRPr="00031651" w:rsidRDefault="0034181F"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6804" w:type="dxa"/>
          </w:tcPr>
          <w:p w14:paraId="126FA41D" w14:textId="77777777" w:rsidR="00E301B4" w:rsidRPr="00031651" w:rsidRDefault="00DC3C5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lang w:val="ro-RO"/>
              </w:rPr>
              <w:lastRenderedPageBreak/>
              <w:t xml:space="preserve">90. </w:t>
            </w:r>
            <w:r w:rsidR="00517338" w:rsidRPr="00031651">
              <w:rPr>
                <w:rFonts w:ascii="Times New Roman" w:hAnsi="Times New Roman" w:cs="Times New Roman"/>
                <w:sz w:val="24"/>
                <w:szCs w:val="24"/>
                <w:lang w:val="ro-RO"/>
              </w:rPr>
              <w:t xml:space="preserve">Curtea a stabilit că </w:t>
            </w:r>
            <w:r w:rsidR="00741FA5" w:rsidRPr="00031651">
              <w:rPr>
                <w:rFonts w:ascii="Times New Roman" w:hAnsi="Times New Roman" w:cs="Times New Roman"/>
                <w:sz w:val="24"/>
                <w:szCs w:val="24"/>
                <w:lang w:val="ro-RO"/>
              </w:rPr>
              <w:t xml:space="preserve">dispriția telefoanelor mobile a suspecților </w:t>
            </w:r>
            <w:r w:rsidR="00AA21DE" w:rsidRPr="00031651">
              <w:rPr>
                <w:rFonts w:ascii="Times New Roman" w:hAnsi="Times New Roman" w:cs="Times New Roman"/>
                <w:sz w:val="24"/>
                <w:szCs w:val="24"/>
                <w:lang w:val="ro-RO"/>
              </w:rPr>
              <w:t xml:space="preserve">din </w:t>
            </w:r>
            <w:r w:rsidR="00AA21DE" w:rsidRPr="00031651">
              <w:rPr>
                <w:rFonts w:ascii="Times New Roman" w:hAnsi="Times New Roman" w:cs="Times New Roman"/>
                <w:sz w:val="24"/>
                <w:szCs w:val="24"/>
                <w:lang w:val="ro-RO"/>
              </w:rPr>
              <w:lastRenderedPageBreak/>
              <w:t xml:space="preserve">custodia statului, a compromis o măsură </w:t>
            </w:r>
            <w:r w:rsidR="003B7965" w:rsidRPr="00031651">
              <w:rPr>
                <w:rFonts w:ascii="Times New Roman" w:hAnsi="Times New Roman" w:cs="Times New Roman"/>
                <w:sz w:val="24"/>
                <w:szCs w:val="24"/>
                <w:lang w:val="ro-RO"/>
              </w:rPr>
              <w:t>de investigare de o importanță deosebită.</w:t>
            </w:r>
          </w:p>
          <w:p w14:paraId="05C31E59" w14:textId="143E284E" w:rsidR="009E4369" w:rsidRPr="00031651" w:rsidRDefault="00E301B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b/>
                <w:bCs/>
                <w:sz w:val="24"/>
                <w:szCs w:val="24"/>
              </w:rPr>
              <w:t>92</w:t>
            </w:r>
            <w:r w:rsidRPr="00031651">
              <w:rPr>
                <w:rFonts w:ascii="Times New Roman" w:hAnsi="Times New Roman" w:cs="Times New Roman"/>
                <w:sz w:val="24"/>
                <w:szCs w:val="24"/>
              </w:rPr>
              <w:t>. În special, Curtea observă că dispozitivul de stocare extern care conținea probe digitale pare să fi fost șters și suprascris, având ca rezultat pierderea conținutului, inclusiv a copiilor de rezervă. Această acțiune pare să fi avut loc după formularea acuzațiilor și ridică preocupări deosebite, având în vedere că un ordin judiciar de conservare a probelor era încă în vigoare. Dat fiind că probele distruse ar fi putut fi decisive pentru a dovedi sau infirma afirmațiile reclamanților, dispariția lor pare să reprezinte un eșec deosebit de grav în conservarea probelor.</w:t>
            </w:r>
            <w:r w:rsidR="003B7965" w:rsidRPr="00031651">
              <w:rPr>
                <w:rFonts w:ascii="Times New Roman" w:hAnsi="Times New Roman" w:cs="Times New Roman"/>
                <w:sz w:val="24"/>
                <w:szCs w:val="24"/>
                <w:lang w:val="ro-RO"/>
              </w:rPr>
              <w:t xml:space="preserve"> </w:t>
            </w:r>
          </w:p>
          <w:p w14:paraId="63242760" w14:textId="77777777" w:rsidR="00E301B4" w:rsidRPr="00031651" w:rsidRDefault="00F665FD"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lang w:val="ro-RO"/>
              </w:rPr>
              <w:t>93</w:t>
            </w:r>
            <w:r w:rsidRPr="00031651">
              <w:rPr>
                <w:rFonts w:ascii="Times New Roman" w:hAnsi="Times New Roman" w:cs="Times New Roman"/>
                <w:sz w:val="24"/>
                <w:szCs w:val="24"/>
                <w:lang w:val="ro-RO"/>
              </w:rPr>
              <w:t xml:space="preserve">. </w:t>
            </w:r>
            <w:r w:rsidR="00CD63E6" w:rsidRPr="00031651">
              <w:rPr>
                <w:rFonts w:ascii="Times New Roman" w:hAnsi="Times New Roman" w:cs="Times New Roman"/>
                <w:sz w:val="24"/>
                <w:szCs w:val="24"/>
              </w:rPr>
              <w:t>Neasigurarea protejării materialului în cauză reprezintă, așadar, un motiv de preocupare serioasă, dat fiind că eficiența investigației depindea în mod considerabil de păstrarea și analiza exact a tipului de probe care au fost pierdute sau distruse în timp ce se aflau în custodia poliției.</w:t>
            </w:r>
          </w:p>
          <w:p w14:paraId="4B8FB3E8" w14:textId="09412747" w:rsidR="00E436A9" w:rsidRPr="00031651" w:rsidRDefault="00E608F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96</w:t>
            </w:r>
            <w:r w:rsidRPr="00031651">
              <w:rPr>
                <w:rFonts w:ascii="Times New Roman" w:hAnsi="Times New Roman" w:cs="Times New Roman"/>
                <w:sz w:val="24"/>
                <w:szCs w:val="24"/>
              </w:rPr>
              <w:t xml:space="preserve">. De asemenea Curtea stabilește că </w:t>
            </w:r>
            <w:r w:rsidR="006964FA" w:rsidRPr="00031651">
              <w:rPr>
                <w:rFonts w:ascii="Times New Roman" w:hAnsi="Times New Roman" w:cs="Times New Roman"/>
                <w:sz w:val="24"/>
                <w:szCs w:val="24"/>
              </w:rPr>
              <w:t xml:space="preserve">relațiile familiale strânse între unul din </w:t>
            </w:r>
            <w:r w:rsidR="00DF3ABD" w:rsidRPr="00031651">
              <w:rPr>
                <w:rFonts w:ascii="Times New Roman" w:hAnsi="Times New Roman" w:cs="Times New Roman"/>
                <w:sz w:val="24"/>
                <w:szCs w:val="24"/>
              </w:rPr>
              <w:t>suspecți și ofițerul de urmărire penală</w:t>
            </w:r>
            <w:r w:rsidR="00CA7383" w:rsidRPr="00031651">
              <w:rPr>
                <w:rFonts w:ascii="Times New Roman" w:hAnsi="Times New Roman" w:cs="Times New Roman"/>
                <w:sz w:val="24"/>
                <w:szCs w:val="24"/>
              </w:rPr>
              <w:t xml:space="preserve"> </w:t>
            </w:r>
            <w:r w:rsidR="00F2741F" w:rsidRPr="00031651">
              <w:rPr>
                <w:rFonts w:ascii="Times New Roman" w:hAnsi="Times New Roman" w:cs="Times New Roman"/>
                <w:sz w:val="24"/>
                <w:szCs w:val="24"/>
              </w:rPr>
              <w:t>nu a corespuns standardului de independență suficientă cerut de Convenție</w:t>
            </w:r>
            <w:r w:rsidR="006C7672" w:rsidRPr="00031651">
              <w:rPr>
                <w:rFonts w:ascii="Times New Roman" w:hAnsi="Times New Roman" w:cs="Times New Roman"/>
                <w:sz w:val="24"/>
                <w:szCs w:val="24"/>
              </w:rPr>
              <w:t>. O astfel de relație era de natură să compromită atât desfășurarea efectivă a investigației, cât și eficiența acesteia în stabilirea faptelor. În circumstanțe atât de sensibile, ofițerul ar fi trebuit să se retragă din anchetă din proprie inițiativă, în loc să aștepte ca relația sa de rudenie cu un suspect să fie dezvăluită de către un coleg.</w:t>
            </w:r>
            <w:r w:rsidR="0003000B" w:rsidRPr="00031651">
              <w:rPr>
                <w:rFonts w:ascii="Times New Roman" w:hAnsi="Times New Roman" w:cs="Times New Roman"/>
                <w:sz w:val="24"/>
                <w:szCs w:val="24"/>
              </w:rPr>
              <w:t xml:space="preserve"> </w:t>
            </w:r>
          </w:p>
        </w:tc>
        <w:tc>
          <w:tcPr>
            <w:tcW w:w="2693" w:type="dxa"/>
          </w:tcPr>
          <w:p w14:paraId="24ADFA73" w14:textId="77777777" w:rsidR="009E4369" w:rsidRPr="00031651" w:rsidRDefault="00AF77D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Violare art</w:t>
            </w:r>
            <w:r w:rsidR="003965A8" w:rsidRPr="00031651">
              <w:rPr>
                <w:rFonts w:ascii="Times New Roman" w:hAnsi="Times New Roman" w:cs="Times New Roman"/>
                <w:sz w:val="24"/>
                <w:szCs w:val="24"/>
                <w:lang w:val="ro-RO"/>
              </w:rPr>
              <w:t xml:space="preserve">. 3 </w:t>
            </w:r>
          </w:p>
          <w:p w14:paraId="01C9DE3A" w14:textId="77777777" w:rsidR="003965A8" w:rsidRPr="00031651" w:rsidRDefault="003965A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art.8 </w:t>
            </w:r>
          </w:p>
          <w:p w14:paraId="5F5A6F27" w14:textId="33FFF93A" w:rsidR="003965A8" w:rsidRPr="00031651" w:rsidRDefault="001F70B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w:t>
            </w:r>
            <w:r w:rsidR="00DE2B37" w:rsidRPr="00031651">
              <w:rPr>
                <w:rFonts w:ascii="Times New Roman" w:hAnsi="Times New Roman" w:cs="Times New Roman"/>
                <w:sz w:val="24"/>
                <w:szCs w:val="24"/>
                <w:lang w:val="ro-RO"/>
              </w:rPr>
              <w:t>Aspect procedural</w:t>
            </w:r>
            <w:r>
              <w:rPr>
                <w:rFonts w:ascii="Times New Roman" w:hAnsi="Times New Roman" w:cs="Times New Roman"/>
                <w:sz w:val="24"/>
                <w:szCs w:val="24"/>
                <w:lang w:val="ro-RO"/>
              </w:rPr>
              <w:t>)</w:t>
            </w:r>
          </w:p>
          <w:p w14:paraId="2BF29B7C" w14:textId="77777777" w:rsidR="00DD6C78" w:rsidRPr="00031651" w:rsidRDefault="00DD6C7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838CE4F" w14:textId="77777777" w:rsidR="00DD6C78" w:rsidRPr="00031651" w:rsidRDefault="00B71F1A"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5000 EUR </w:t>
            </w:r>
          </w:p>
          <w:p w14:paraId="62F5A39F" w14:textId="6F3C5B53" w:rsidR="003F4917" w:rsidRPr="00031651" w:rsidRDefault="003F491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w:t>
            </w:r>
            <w:r w:rsidR="004E407B" w:rsidRPr="00031651">
              <w:rPr>
                <w:rFonts w:ascii="Times New Roman" w:hAnsi="Times New Roman" w:cs="Times New Roman"/>
                <w:sz w:val="24"/>
                <w:szCs w:val="24"/>
                <w:lang w:val="ro-RO"/>
              </w:rPr>
              <w:t>costuri și cheltuieli)</w:t>
            </w:r>
          </w:p>
        </w:tc>
      </w:tr>
      <w:tr w:rsidR="009E4369" w:rsidRPr="00031651" w14:paraId="6F07FF0C"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686A1FD7" w14:textId="77777777" w:rsidR="009E4369" w:rsidRPr="00031651" w:rsidRDefault="00470CFE"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lastRenderedPageBreak/>
              <w:t>11</w:t>
            </w:r>
          </w:p>
          <w:p w14:paraId="231A3942" w14:textId="77777777" w:rsidR="003F2FC2" w:rsidRPr="00031651" w:rsidRDefault="003F2FC2" w:rsidP="00B04FC2">
            <w:pPr>
              <w:jc w:val="center"/>
              <w:rPr>
                <w:rFonts w:ascii="Times New Roman" w:hAnsi="Times New Roman" w:cs="Times New Roman"/>
                <w:b w:val="0"/>
                <w:bCs w:val="0"/>
                <w:sz w:val="24"/>
                <w:szCs w:val="24"/>
                <w:lang w:val="ro-RO"/>
              </w:rPr>
            </w:pPr>
          </w:p>
          <w:p w14:paraId="6A243AAC" w14:textId="402C4705" w:rsidR="003F2FC2" w:rsidRPr="00031651" w:rsidRDefault="003F2FC2"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10</w:t>
            </w:r>
          </w:p>
        </w:tc>
        <w:tc>
          <w:tcPr>
            <w:tcW w:w="1525" w:type="dxa"/>
          </w:tcPr>
          <w:p w14:paraId="0AEBC057" w14:textId="40D87A89" w:rsidR="009E4369" w:rsidRPr="00031651" w:rsidRDefault="00B40F7D"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Libertatea de întrunire </w:t>
            </w:r>
          </w:p>
        </w:tc>
        <w:tc>
          <w:tcPr>
            <w:tcW w:w="1633" w:type="dxa"/>
          </w:tcPr>
          <w:p w14:paraId="5F6EE986" w14:textId="6D383672" w:rsidR="00737EA2" w:rsidRPr="00031651" w:rsidRDefault="00737EA2" w:rsidP="003B2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031651">
              <w:rPr>
                <w:rFonts w:ascii="Times New Roman" w:hAnsi="Times New Roman" w:cs="Times New Roman"/>
                <w:lang w:val="ro-RO"/>
              </w:rPr>
              <w:t>69483/13</w:t>
            </w:r>
          </w:p>
          <w:p w14:paraId="72732577" w14:textId="6EEB998F" w:rsidR="00907AC4" w:rsidRPr="00031651" w:rsidRDefault="00737EA2" w:rsidP="003B2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031651">
              <w:rPr>
                <w:rFonts w:ascii="Times New Roman" w:hAnsi="Times New Roman" w:cs="Times New Roman"/>
                <w:lang w:val="ro-RO"/>
              </w:rPr>
              <w:t>06/01/2023</w:t>
            </w:r>
          </w:p>
          <w:p w14:paraId="39509499" w14:textId="5212B226" w:rsidR="00A64A92" w:rsidRPr="00031651" w:rsidRDefault="00A64A92" w:rsidP="003B242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o-RO"/>
              </w:rPr>
            </w:pPr>
            <w:r w:rsidRPr="00031651">
              <w:rPr>
                <w:rFonts w:ascii="Times New Roman" w:hAnsi="Times New Roman" w:cs="Times New Roman"/>
                <w:lang w:val="ro-RO"/>
              </w:rPr>
              <w:t>Mustafa H</w:t>
            </w:r>
            <w:r w:rsidR="00B40F7D" w:rsidRPr="00031651">
              <w:rPr>
                <w:rFonts w:ascii="Times New Roman" w:hAnsi="Times New Roman" w:cs="Times New Roman"/>
                <w:lang w:val="ro-RO"/>
              </w:rPr>
              <w:t>a</w:t>
            </w:r>
            <w:r w:rsidRPr="00031651">
              <w:rPr>
                <w:rFonts w:ascii="Times New Roman" w:hAnsi="Times New Roman" w:cs="Times New Roman"/>
                <w:lang w:val="ro-RO"/>
              </w:rPr>
              <w:t xml:space="preserve">jili și alții  </w:t>
            </w:r>
            <w:r w:rsidR="0018288B">
              <w:rPr>
                <w:rFonts w:ascii="Times New Roman" w:hAnsi="Times New Roman" w:cs="Times New Roman"/>
              </w:rPr>
              <w:t xml:space="preserve">contra </w:t>
            </w:r>
            <w:r w:rsidRPr="00031651">
              <w:rPr>
                <w:rFonts w:ascii="Times New Roman" w:hAnsi="Times New Roman" w:cs="Times New Roman"/>
              </w:rPr>
              <w:t>AZERBAIJAN</w:t>
            </w:r>
          </w:p>
          <w:p w14:paraId="113E73A5"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23E73099" w14:textId="1225D160" w:rsidR="009E4369" w:rsidRPr="00031651" w:rsidRDefault="0018288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36, 37, 53, 63, </w:t>
            </w:r>
            <w:r w:rsidR="00C76E04">
              <w:rPr>
                <w:rFonts w:ascii="Times New Roman" w:hAnsi="Times New Roman" w:cs="Times New Roman"/>
                <w:sz w:val="24"/>
                <w:szCs w:val="24"/>
                <w:lang w:val="ro-RO"/>
              </w:rPr>
              <w:t>66,67</w:t>
            </w:r>
          </w:p>
        </w:tc>
        <w:tc>
          <w:tcPr>
            <w:tcW w:w="1559" w:type="dxa"/>
          </w:tcPr>
          <w:p w14:paraId="77402523" w14:textId="3C9B0BDA" w:rsidR="009E4369" w:rsidRPr="00031651" w:rsidRDefault="00D60183" w:rsidP="003B24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Grup politic, </w:t>
            </w:r>
            <w:r w:rsidR="00AD4D82" w:rsidRPr="00031651">
              <w:rPr>
                <w:rFonts w:ascii="Times New Roman" w:hAnsi="Times New Roman" w:cs="Times New Roman"/>
                <w:sz w:val="24"/>
                <w:szCs w:val="24"/>
                <w:lang w:val="ro-RO"/>
              </w:rPr>
              <w:t>adunare</w:t>
            </w:r>
            <w:r w:rsidR="00086FEE" w:rsidRPr="00031651">
              <w:rPr>
                <w:rFonts w:ascii="Times New Roman" w:hAnsi="Times New Roman" w:cs="Times New Roman"/>
                <w:sz w:val="24"/>
                <w:szCs w:val="24"/>
                <w:lang w:val="ro-RO"/>
              </w:rPr>
              <w:t>, refuz de autorizare a adunării</w:t>
            </w:r>
            <w:r w:rsidR="00FE16FF" w:rsidRPr="00031651">
              <w:rPr>
                <w:rFonts w:ascii="Times New Roman" w:hAnsi="Times New Roman" w:cs="Times New Roman"/>
                <w:sz w:val="24"/>
                <w:szCs w:val="24"/>
                <w:lang w:val="ro-RO"/>
              </w:rPr>
              <w:t xml:space="preserve">, interes politic, </w:t>
            </w:r>
            <w:r w:rsidR="007E17A7" w:rsidRPr="00031651">
              <w:rPr>
                <w:rFonts w:ascii="Times New Roman" w:hAnsi="Times New Roman" w:cs="Times New Roman"/>
                <w:sz w:val="24"/>
                <w:szCs w:val="24"/>
                <w:lang w:val="ro-RO"/>
              </w:rPr>
              <w:t>marja de apreciere</w:t>
            </w:r>
          </w:p>
        </w:tc>
        <w:tc>
          <w:tcPr>
            <w:tcW w:w="6804" w:type="dxa"/>
          </w:tcPr>
          <w:p w14:paraId="4DAD6724" w14:textId="77777777" w:rsidR="00FB0AD6" w:rsidRPr="00031651" w:rsidRDefault="00F66B5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36. </w:t>
            </w:r>
            <w:r w:rsidR="007102CE" w:rsidRPr="00031651">
              <w:rPr>
                <w:rFonts w:ascii="Times New Roman" w:hAnsi="Times New Roman" w:cs="Times New Roman"/>
                <w:sz w:val="24"/>
                <w:szCs w:val="24"/>
              </w:rPr>
              <w:t>Curtea consideră că atât refuzul total, cât și refuzurile de a autoriza întrunirile la locurile planificate au constituit o ingerință în dreptul reclamanților la libertatea de întrunire.</w:t>
            </w:r>
          </w:p>
          <w:p w14:paraId="0542E45C" w14:textId="77777777" w:rsidR="001B5466" w:rsidRPr="00031651" w:rsidRDefault="00FB0AD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1651">
              <w:rPr>
                <w:rFonts w:ascii="Times New Roman" w:hAnsi="Times New Roman" w:cs="Times New Roman"/>
                <w:b/>
                <w:bCs/>
                <w:sz w:val="24"/>
                <w:szCs w:val="24"/>
              </w:rPr>
              <w:t xml:space="preserve">37. </w:t>
            </w:r>
            <w:r w:rsidRPr="00031651">
              <w:rPr>
                <w:rFonts w:ascii="Times New Roman" w:hAnsi="Times New Roman" w:cs="Times New Roman"/>
                <w:sz w:val="24"/>
                <w:szCs w:val="24"/>
              </w:rPr>
              <w:t>Ingerința nu va fi justificată în sensul articolului 11 din Convenție decât dacă este „prevăzută de lege”, urmărește unul sau mai multe dintre scopurile legitime enunțate la paragraful 2 al acestui articol și este „necesară într-o societate democratică” pentru atingerea acelui scop sau acelor scopuri.</w:t>
            </w:r>
            <w:r w:rsidRPr="00031651">
              <w:rPr>
                <w:rFonts w:ascii="Times New Roman" w:hAnsi="Times New Roman" w:cs="Times New Roman"/>
              </w:rPr>
              <w:t xml:space="preserve"> </w:t>
            </w:r>
            <w:r w:rsidRPr="00031651">
              <w:rPr>
                <w:rFonts w:ascii="Times New Roman" w:hAnsi="Times New Roman" w:cs="Times New Roman"/>
                <w:sz w:val="24"/>
                <w:szCs w:val="24"/>
              </w:rPr>
              <w:t xml:space="preserve">37. Ingerința nu va fi justificată în sensul articolului 11 din Convenție decât dacă este „prevăzută de lege”, urmărește unul sau mai multe dintre scopurile </w:t>
            </w:r>
            <w:r w:rsidRPr="00031651">
              <w:rPr>
                <w:rFonts w:ascii="Times New Roman" w:hAnsi="Times New Roman" w:cs="Times New Roman"/>
                <w:sz w:val="24"/>
                <w:szCs w:val="24"/>
              </w:rPr>
              <w:lastRenderedPageBreak/>
              <w:t>legitime enunțate la paragraful 2 al acestui articol și este „necesară într-o societate democratică” pentru atingerea acelui scop sau acelor scopuri.</w:t>
            </w:r>
          </w:p>
          <w:p w14:paraId="17194552" w14:textId="77777777" w:rsidR="00497AC1" w:rsidRPr="00031651" w:rsidRDefault="0028299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53. </w:t>
            </w:r>
            <w:r w:rsidRPr="00031651">
              <w:rPr>
                <w:rFonts w:ascii="Times New Roman" w:hAnsi="Times New Roman" w:cs="Times New Roman"/>
                <w:sz w:val="24"/>
                <w:szCs w:val="24"/>
              </w:rPr>
              <w:t>Considerentele de mai sus, luate împreună, oferă indicii solide că refuzurile de a autoriza adunările publice în toate cele trei cereri nu au îndeplinit cerința ca acestea să fie „prevăzute de lege”, în sensul articolului 11 § 2 din Convenție. Cu toate acestea, Curtea observă că aspectele privind legalitatea acestei ingerințe sunt strâns legate de alte chestiuni mai ample referitoare la faptul dacă ingerința a fost „necesară într-o societate democratică”, inclusiv de problema proporționalității măsurilor adoptate.</w:t>
            </w:r>
          </w:p>
          <w:p w14:paraId="1D53E727" w14:textId="77777777" w:rsidR="009E4369" w:rsidRPr="00031651" w:rsidRDefault="00497AC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1651">
              <w:rPr>
                <w:rFonts w:ascii="Times New Roman" w:hAnsi="Times New Roman" w:cs="Times New Roman"/>
                <w:b/>
                <w:bCs/>
                <w:sz w:val="24"/>
                <w:szCs w:val="24"/>
              </w:rPr>
              <w:t xml:space="preserve">63. </w:t>
            </w:r>
            <w:r w:rsidRPr="00031651">
              <w:rPr>
                <w:rFonts w:ascii="Times New Roman" w:hAnsi="Times New Roman" w:cs="Times New Roman"/>
                <w:sz w:val="24"/>
                <w:szCs w:val="24"/>
              </w:rPr>
              <w:t>În plus, Curtea reiterează că, pentru a respecta cerința proporționalității și pentru a realiza un just echilibru între interesele concurente aflate în joc, autoritățile ar trebui, în mod normal, să ia în considerare, printre altele, măsuri mai puțin intruzive înainte de a refuza autorizarea unei adunări. Măsuri precum sugerarea către organizatori de a modifica locul, data și/sau ora adunării, de a scurta durata acesteia sau de a limita numărul participanților ar putea, în anumite circumstanțe, să fie considerate măsuri mai proporționale decât o interdicție totală. Cu toate acestea, în prezenta cauză, prin simplul refuz de a autoriza adunarea în cererea nr. 69483/13 și prin sugerarea către reclamanți în cererile nr. 76319/13 și 30456/14 de a desfășura adunările în zona rezidențială 20 din districtul Sabail, BCEA a eșuat în a propune măsuri mai puțin intruzive</w:t>
            </w:r>
            <w:r w:rsidRPr="00031651">
              <w:rPr>
                <w:rFonts w:ascii="Times New Roman" w:hAnsi="Times New Roman" w:cs="Times New Roman"/>
                <w:b/>
                <w:bCs/>
                <w:sz w:val="24"/>
                <w:szCs w:val="24"/>
              </w:rPr>
              <w:t>.</w:t>
            </w:r>
            <w:r w:rsidR="007102CE" w:rsidRPr="00031651">
              <w:rPr>
                <w:rFonts w:ascii="Times New Roman" w:hAnsi="Times New Roman" w:cs="Times New Roman"/>
                <w:b/>
                <w:bCs/>
                <w:sz w:val="24"/>
                <w:szCs w:val="24"/>
              </w:rPr>
              <w:t xml:space="preserve"> </w:t>
            </w:r>
          </w:p>
          <w:p w14:paraId="4A3D507F" w14:textId="77777777" w:rsidR="00916721" w:rsidRPr="00031651" w:rsidRDefault="0091672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6E04">
              <w:rPr>
                <w:rFonts w:ascii="Times New Roman" w:hAnsi="Times New Roman" w:cs="Times New Roman"/>
                <w:b/>
                <w:bCs/>
                <w:sz w:val="24"/>
                <w:szCs w:val="24"/>
              </w:rPr>
              <w:t>66</w:t>
            </w:r>
            <w:r w:rsidRPr="00031651">
              <w:rPr>
                <w:rFonts w:ascii="Times New Roman" w:hAnsi="Times New Roman" w:cs="Times New Roman"/>
                <w:sz w:val="24"/>
                <w:szCs w:val="24"/>
              </w:rPr>
              <w:t xml:space="preserve">. În toate cele trei cereri, autoritățile au eșuat, de asemenea, să ia în considerare faptul că adunările în cauză au fost planificate de reclamanți în calitatea lor de membri ai unui grup politic, Camera Publică, și că scopul adunărilor era acela de a protesta, de a exprima opinii și de a formula revendicări cu privire la diverse probleme de natură politică ce erau de interes public. O decizie privind autorizarea sau neautorizarea unor asemenea adunări ar fi trebuit să se bazeze pe o recunoaștere adecvată a protecției privilegiate conferite de Convenție discursului politic, dezbaterii asupra chestiunilor de interes public și manifestării pașnice a opiniilor pe </w:t>
            </w:r>
            <w:r w:rsidRPr="00031651">
              <w:rPr>
                <w:rFonts w:ascii="Times New Roman" w:hAnsi="Times New Roman" w:cs="Times New Roman"/>
                <w:sz w:val="24"/>
                <w:szCs w:val="24"/>
              </w:rPr>
              <w:lastRenderedPageBreak/>
              <w:t>astfel de subiecte, și să rămână în limitele marjei înguste de apreciere de care dispun autoritățile în restrângerea discursului politic</w:t>
            </w:r>
            <w:r w:rsidR="007E17A7" w:rsidRPr="00031651">
              <w:rPr>
                <w:rFonts w:ascii="Times New Roman" w:hAnsi="Times New Roman" w:cs="Times New Roman"/>
                <w:sz w:val="24"/>
                <w:szCs w:val="24"/>
              </w:rPr>
              <w:t xml:space="preserve">. </w:t>
            </w:r>
          </w:p>
          <w:p w14:paraId="72DD9B75" w14:textId="09749756" w:rsidR="007E17A7" w:rsidRPr="00031651" w:rsidRDefault="00991C93"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76E04">
              <w:rPr>
                <w:rFonts w:ascii="Times New Roman" w:hAnsi="Times New Roman" w:cs="Times New Roman"/>
                <w:b/>
                <w:bCs/>
                <w:sz w:val="24"/>
                <w:szCs w:val="24"/>
              </w:rPr>
              <w:t>67</w:t>
            </w:r>
            <w:r w:rsidRPr="00031651">
              <w:rPr>
                <w:rFonts w:ascii="Times New Roman" w:hAnsi="Times New Roman" w:cs="Times New Roman"/>
                <w:sz w:val="24"/>
                <w:szCs w:val="24"/>
              </w:rPr>
              <w:t>. În consecință, Curtea consideră că autoritățile naționale nu au prezentat motive „relevante și suficiente” pentru a justifica ingerința în dreptul reclamanților la libertatea de întrunire și nu au reușit să asigure un just echilibru între interesele aflate în joc. Prin urmare, ingerința a fost de asemenea disproporționată în raport cu orice scop care ar fi putut fi urmărit în mod legitim.</w:t>
            </w:r>
          </w:p>
        </w:tc>
        <w:tc>
          <w:tcPr>
            <w:tcW w:w="2693" w:type="dxa"/>
          </w:tcPr>
          <w:p w14:paraId="62D7D061" w14:textId="77777777" w:rsidR="009E4369" w:rsidRPr="00031651" w:rsidRDefault="002C4E0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art.11 </w:t>
            </w:r>
          </w:p>
          <w:p w14:paraId="36E0346D" w14:textId="77777777" w:rsidR="002C4E04" w:rsidRPr="00031651" w:rsidRDefault="002C4E0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5C92404" w14:textId="77777777" w:rsidR="00AB01F6" w:rsidRPr="00031651" w:rsidRDefault="00AB01F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4500 EUR </w:t>
            </w:r>
          </w:p>
          <w:p w14:paraId="2DFC0265" w14:textId="77777777" w:rsidR="00AB01F6" w:rsidRPr="00031651" w:rsidRDefault="00AB01F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(prejudiciu moral)</w:t>
            </w:r>
          </w:p>
          <w:p w14:paraId="409E4181" w14:textId="77777777" w:rsidR="00AB01F6" w:rsidRPr="00031651" w:rsidRDefault="00AB01F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7CA49595" w14:textId="77777777" w:rsidR="00AB01F6" w:rsidRPr="00031651" w:rsidRDefault="00AB01F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1500 EUR</w:t>
            </w:r>
          </w:p>
          <w:p w14:paraId="3FD63DC4" w14:textId="77777777" w:rsidR="00AB01F6" w:rsidRPr="00031651" w:rsidRDefault="00AB01F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w:t>
            </w:r>
            <w:r w:rsidR="00E91C08" w:rsidRPr="00031651">
              <w:rPr>
                <w:rFonts w:ascii="Times New Roman" w:hAnsi="Times New Roman" w:cs="Times New Roman"/>
                <w:sz w:val="24"/>
                <w:szCs w:val="24"/>
                <w:lang w:val="ro-RO"/>
              </w:rPr>
              <w:t>costuri și cheltuieli</w:t>
            </w:r>
            <w:r w:rsidRPr="00031651">
              <w:rPr>
                <w:rFonts w:ascii="Times New Roman" w:hAnsi="Times New Roman" w:cs="Times New Roman"/>
                <w:sz w:val="24"/>
                <w:szCs w:val="24"/>
                <w:lang w:val="ro-RO"/>
              </w:rPr>
              <w:t>)</w:t>
            </w:r>
          </w:p>
          <w:p w14:paraId="0920286F" w14:textId="77777777" w:rsidR="00E91C08" w:rsidRPr="00031651" w:rsidRDefault="00E91C0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C91B74A" w14:textId="77777777" w:rsidR="00E91C08" w:rsidRPr="00031651" w:rsidRDefault="00E91C0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55 EUR </w:t>
            </w:r>
          </w:p>
          <w:p w14:paraId="6DB2572B" w14:textId="77777777" w:rsidR="00E91C08" w:rsidRPr="00031651" w:rsidRDefault="00E91C0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(costuri și cheltuieli)</w:t>
            </w:r>
          </w:p>
          <w:p w14:paraId="0383E308" w14:textId="77777777" w:rsidR="00E91C08" w:rsidRPr="00031651" w:rsidRDefault="00E91C0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4172164" w14:textId="77777777" w:rsidR="00E91C08" w:rsidRPr="00031651" w:rsidRDefault="0016755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70 EUR </w:t>
            </w:r>
          </w:p>
          <w:p w14:paraId="3AA1DF80" w14:textId="77B3F25C" w:rsidR="0016755C" w:rsidRPr="00031651" w:rsidRDefault="0016755C"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(costuri și cheltuieli)</w:t>
            </w:r>
          </w:p>
        </w:tc>
      </w:tr>
      <w:tr w:rsidR="009E4369" w:rsidRPr="00031651" w14:paraId="283BA6B4"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2C05439E" w14:textId="77777777" w:rsidR="009E4369" w:rsidRPr="00031651" w:rsidRDefault="0016755C" w:rsidP="00B04FC2">
            <w:pPr>
              <w:jc w:val="center"/>
              <w:rPr>
                <w:rFonts w:ascii="Times New Roman" w:hAnsi="Times New Roman" w:cs="Times New Roman"/>
                <w:b w:val="0"/>
                <w:bCs w:val="0"/>
                <w:sz w:val="24"/>
                <w:szCs w:val="24"/>
                <w:lang w:val="ro-RO"/>
              </w:rPr>
            </w:pPr>
            <w:r w:rsidRPr="00031651">
              <w:rPr>
                <w:rFonts w:ascii="Times New Roman" w:hAnsi="Times New Roman" w:cs="Times New Roman"/>
                <w:sz w:val="24"/>
                <w:szCs w:val="24"/>
                <w:lang w:val="ro-RO"/>
              </w:rPr>
              <w:lastRenderedPageBreak/>
              <w:t>9</w:t>
            </w:r>
          </w:p>
          <w:p w14:paraId="6DD251CE" w14:textId="4108CE07" w:rsidR="00841D74" w:rsidRPr="00031651" w:rsidRDefault="00841D74" w:rsidP="00B04FC2">
            <w:pPr>
              <w:jc w:val="center"/>
              <w:rPr>
                <w:rFonts w:ascii="Times New Roman" w:hAnsi="Times New Roman" w:cs="Times New Roman"/>
                <w:sz w:val="24"/>
                <w:szCs w:val="24"/>
                <w:lang w:val="ro-RO"/>
              </w:rPr>
            </w:pPr>
          </w:p>
        </w:tc>
        <w:tc>
          <w:tcPr>
            <w:tcW w:w="1525" w:type="dxa"/>
          </w:tcPr>
          <w:p w14:paraId="0F6EA10F" w14:textId="77777777" w:rsidR="009E4369" w:rsidRPr="00031651" w:rsidRDefault="007A6F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Obligații pozitive</w:t>
            </w:r>
          </w:p>
          <w:p w14:paraId="62E8B035" w14:textId="77777777" w:rsidR="00841D74" w:rsidRPr="00031651" w:rsidRDefault="00841D7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8993410" w14:textId="4F7A8E4C" w:rsidR="007A6FEE" w:rsidRPr="00031651" w:rsidRDefault="006B14B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Dreptul la libertatea de a-și manifesta religia</w:t>
            </w:r>
            <w:r w:rsidR="00841D74" w:rsidRPr="00031651">
              <w:rPr>
                <w:rFonts w:ascii="Times New Roman" w:hAnsi="Times New Roman" w:cs="Times New Roman"/>
                <w:sz w:val="24"/>
                <w:szCs w:val="24"/>
                <w:lang w:val="ro-RO"/>
              </w:rPr>
              <w:t xml:space="preserve"> </w:t>
            </w:r>
          </w:p>
        </w:tc>
        <w:tc>
          <w:tcPr>
            <w:tcW w:w="1633" w:type="dxa"/>
          </w:tcPr>
          <w:p w14:paraId="6DB2E9A4" w14:textId="028E51CB" w:rsidR="007E17A7" w:rsidRPr="00C76E04" w:rsidRDefault="00700525" w:rsidP="00C76E0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C76E04">
              <w:rPr>
                <w:rFonts w:ascii="Times New Roman" w:hAnsi="Times New Roman" w:cs="Times New Roman"/>
                <w:sz w:val="24"/>
                <w:szCs w:val="24"/>
                <w:lang w:val="ro-RO"/>
              </w:rPr>
              <w:t>12886/16</w:t>
            </w:r>
          </w:p>
          <w:p w14:paraId="657C3A81" w14:textId="5F9902BC" w:rsidR="00700525" w:rsidRPr="00C76E04" w:rsidRDefault="007A6FEE" w:rsidP="00C76E0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C76E04">
              <w:rPr>
                <w:rFonts w:ascii="Times New Roman" w:hAnsi="Times New Roman" w:cs="Times New Roman"/>
                <w:sz w:val="24"/>
                <w:szCs w:val="24"/>
                <w:lang w:val="ro-RO"/>
              </w:rPr>
              <w:t>20/10/2021</w:t>
            </w:r>
          </w:p>
          <w:p w14:paraId="6EC05CEA" w14:textId="4FDDFE41" w:rsidR="00A64A92" w:rsidRPr="00C76E04" w:rsidRDefault="00A64A92" w:rsidP="00C76E04">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C76E04">
              <w:rPr>
                <w:rFonts w:ascii="Times New Roman" w:hAnsi="Times New Roman" w:cs="Times New Roman"/>
                <w:sz w:val="24"/>
                <w:szCs w:val="24"/>
                <w:lang w:val="ro-RO"/>
              </w:rPr>
              <w:t>Polat vs Austria</w:t>
            </w:r>
          </w:p>
          <w:p w14:paraId="686F16C3"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08C92596" w14:textId="6616FA7D" w:rsidR="009E4369" w:rsidRPr="00031651" w:rsidRDefault="00E2302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51, 79, 81, 86, 89, 91</w:t>
            </w:r>
          </w:p>
        </w:tc>
        <w:tc>
          <w:tcPr>
            <w:tcW w:w="1559" w:type="dxa"/>
          </w:tcPr>
          <w:p w14:paraId="27B3B0CD" w14:textId="6D46E1EC" w:rsidR="009E4369" w:rsidRPr="00031651" w:rsidRDefault="00040907" w:rsidP="009E43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Sindrom, </w:t>
            </w:r>
            <w:r w:rsidR="008A148D" w:rsidRPr="00031651">
              <w:rPr>
                <w:rFonts w:ascii="Times New Roman" w:hAnsi="Times New Roman" w:cs="Times New Roman"/>
                <w:sz w:val="24"/>
                <w:szCs w:val="24"/>
                <w:lang w:val="ro-RO"/>
              </w:rPr>
              <w:t xml:space="preserve">malformații, </w:t>
            </w:r>
            <w:r w:rsidR="001C66A9" w:rsidRPr="00031651">
              <w:rPr>
                <w:rFonts w:ascii="Times New Roman" w:hAnsi="Times New Roman" w:cs="Times New Roman"/>
                <w:sz w:val="24"/>
                <w:szCs w:val="24"/>
                <w:lang w:val="ro-RO"/>
              </w:rPr>
              <w:t>examinarea post-mortem</w:t>
            </w:r>
            <w:r w:rsidR="0069605B" w:rsidRPr="00031651">
              <w:rPr>
                <w:rFonts w:ascii="Times New Roman" w:hAnsi="Times New Roman" w:cs="Times New Roman"/>
                <w:sz w:val="24"/>
                <w:szCs w:val="24"/>
                <w:lang w:val="ro-RO"/>
              </w:rPr>
              <w:t xml:space="preserve">, </w:t>
            </w:r>
            <w:r w:rsidR="00444BFA" w:rsidRPr="00031651">
              <w:rPr>
                <w:rFonts w:ascii="Times New Roman" w:hAnsi="Times New Roman" w:cs="Times New Roman"/>
                <w:sz w:val="24"/>
                <w:szCs w:val="24"/>
                <w:lang w:val="ro-RO"/>
              </w:rPr>
              <w:t>interes științific</w:t>
            </w:r>
            <w:r w:rsidR="00CA22DA" w:rsidRPr="00031651">
              <w:rPr>
                <w:rFonts w:ascii="Times New Roman" w:hAnsi="Times New Roman" w:cs="Times New Roman"/>
                <w:sz w:val="24"/>
                <w:szCs w:val="24"/>
                <w:lang w:val="ro-RO"/>
              </w:rPr>
              <w:t>, report</w:t>
            </w:r>
            <w:r w:rsidR="00B707BA" w:rsidRPr="00031651">
              <w:rPr>
                <w:rFonts w:ascii="Times New Roman" w:hAnsi="Times New Roman" w:cs="Times New Roman"/>
                <w:sz w:val="24"/>
                <w:szCs w:val="24"/>
                <w:lang w:val="ro-RO"/>
              </w:rPr>
              <w:t xml:space="preserve">, </w:t>
            </w:r>
            <w:r w:rsidR="004A15D7" w:rsidRPr="00031651">
              <w:rPr>
                <w:rFonts w:ascii="Times New Roman" w:hAnsi="Times New Roman" w:cs="Times New Roman"/>
                <w:sz w:val="24"/>
                <w:szCs w:val="24"/>
                <w:lang w:val="ro-RO"/>
              </w:rPr>
              <w:t>lipsa consimțământului</w:t>
            </w:r>
            <w:r w:rsidR="00B02F72" w:rsidRPr="00031651">
              <w:rPr>
                <w:rFonts w:ascii="Times New Roman" w:hAnsi="Times New Roman" w:cs="Times New Roman"/>
                <w:sz w:val="24"/>
                <w:szCs w:val="24"/>
                <w:lang w:val="ro-RO"/>
              </w:rPr>
              <w:t>.</w:t>
            </w:r>
          </w:p>
        </w:tc>
        <w:tc>
          <w:tcPr>
            <w:tcW w:w="6804" w:type="dxa"/>
          </w:tcPr>
          <w:p w14:paraId="1E12BB2C" w14:textId="2CB67D01" w:rsidR="009E4369" w:rsidRPr="00031651" w:rsidRDefault="00A5317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51</w:t>
            </w:r>
            <w:r w:rsidRPr="00031651">
              <w:rPr>
                <w:rFonts w:ascii="Times New Roman" w:hAnsi="Times New Roman" w:cs="Times New Roman"/>
                <w:sz w:val="24"/>
                <w:szCs w:val="24"/>
              </w:rPr>
              <w:t>. Curtea a statuat anterior că modul de înhumare a morților reprezintă un aspect esențial al practicii religioase și intră sub incidența dreptului de a-și manifesta religia în sensul articolului 9 § 2 din Convenție. Articolul 9 este, prin urmare, aplicabil plângerii reclamantei conform căreia autopsia ar fi fost efectuată împotriva convingerilor sale religioase declarate, întrucât aceasta a susținut că autopsia a împiedicat-o să-și îngroape fiul în conformitate cu credințele sale.</w:t>
            </w:r>
          </w:p>
          <w:p w14:paraId="520460E5" w14:textId="77961E3E" w:rsidR="00A5317F" w:rsidRPr="00031651" w:rsidRDefault="00EE3C6A"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302E">
              <w:rPr>
                <w:rFonts w:ascii="Times New Roman" w:hAnsi="Times New Roman" w:cs="Times New Roman"/>
                <w:b/>
                <w:bCs/>
                <w:sz w:val="24"/>
                <w:szCs w:val="24"/>
              </w:rPr>
              <w:t>79</w:t>
            </w:r>
            <w:r w:rsidRPr="00031651">
              <w:rPr>
                <w:rFonts w:ascii="Times New Roman" w:hAnsi="Times New Roman" w:cs="Times New Roman"/>
                <w:sz w:val="24"/>
                <w:szCs w:val="24"/>
              </w:rPr>
              <w:t>. Într-o cauză referitoare la o exhumare efectuată împotriva voinței membrilor familiei supraviețuitori în scopul unei investigații penale, Curtea a statuat că autoritățile statului sunt obligate să găsească un just echilibru între cerințele unei investigații efective în temeiul articolului 2 și protecția dreptului la respectarea vieții private și de familie a părților la investigație și a altor persoane afectate, în temeiul articolului 8. Curtea a reținut, în acest context, că cerințele eficienței investigației trebuie reconciliate în cel mai înalt grad posibil cu dreptul la respectarea vieții private și de familie. Pot exista circumstanțe în care exhumarea este justificată, în pofida opoziției familiei</w:t>
            </w:r>
            <w:r w:rsidR="00E2302E">
              <w:rPr>
                <w:rFonts w:ascii="Times New Roman" w:hAnsi="Times New Roman" w:cs="Times New Roman"/>
                <w:sz w:val="24"/>
                <w:szCs w:val="24"/>
              </w:rPr>
              <w:t xml:space="preserve">. </w:t>
            </w:r>
          </w:p>
          <w:p w14:paraId="3265ABFA" w14:textId="3B3F0CEF" w:rsidR="0008184A" w:rsidRPr="00031651" w:rsidRDefault="00414C6C"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302E">
              <w:rPr>
                <w:rFonts w:ascii="Times New Roman" w:hAnsi="Times New Roman" w:cs="Times New Roman"/>
                <w:b/>
                <w:bCs/>
                <w:sz w:val="24"/>
                <w:szCs w:val="24"/>
              </w:rPr>
              <w:t>81</w:t>
            </w:r>
            <w:r w:rsidRPr="00031651">
              <w:rPr>
                <w:rFonts w:ascii="Times New Roman" w:hAnsi="Times New Roman" w:cs="Times New Roman"/>
                <w:sz w:val="24"/>
                <w:szCs w:val="24"/>
              </w:rPr>
              <w:t>. În special, prezenta cauză a necesitat un exercițiu de echilibrare între, pe de o parte, protejarea sănătății celorlalți prin efectuarea examinării post-mortem</w:t>
            </w:r>
            <w:r w:rsidR="00FB0EAF" w:rsidRPr="00031651">
              <w:rPr>
                <w:rFonts w:ascii="Times New Roman" w:hAnsi="Times New Roman" w:cs="Times New Roman"/>
                <w:sz w:val="24"/>
                <w:szCs w:val="24"/>
              </w:rPr>
              <w:t xml:space="preserve"> </w:t>
            </w:r>
            <w:r w:rsidRPr="00031651">
              <w:rPr>
                <w:rFonts w:ascii="Times New Roman" w:hAnsi="Times New Roman" w:cs="Times New Roman"/>
                <w:sz w:val="24"/>
                <w:szCs w:val="24"/>
              </w:rPr>
              <w:t>și, pe de altă parte, protecția dreptului reclamantei la respectarea vieții sale private și de familie (articolul 8) și dreptului acesteia de a-și manifesta religia (articolul 9).</w:t>
            </w:r>
          </w:p>
          <w:p w14:paraId="2033DFAA" w14:textId="77777777" w:rsidR="00251C80" w:rsidRPr="00031651" w:rsidRDefault="008743CF"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86. </w:t>
            </w:r>
            <w:r w:rsidRPr="00031651">
              <w:rPr>
                <w:rFonts w:ascii="Times New Roman" w:hAnsi="Times New Roman" w:cs="Times New Roman"/>
                <w:sz w:val="24"/>
                <w:szCs w:val="24"/>
              </w:rPr>
              <w:t xml:space="preserve">Curtea subliniază că </w:t>
            </w:r>
            <w:r w:rsidR="00A6410A" w:rsidRPr="00031651">
              <w:rPr>
                <w:rFonts w:ascii="Times New Roman" w:hAnsi="Times New Roman" w:cs="Times New Roman"/>
                <w:sz w:val="24"/>
                <w:szCs w:val="24"/>
              </w:rPr>
              <w:t xml:space="preserve">conform legii Austriece, </w:t>
            </w:r>
            <w:r w:rsidR="00936FE0" w:rsidRPr="00031651">
              <w:rPr>
                <w:rFonts w:ascii="Times New Roman" w:hAnsi="Times New Roman" w:cs="Times New Roman"/>
                <w:sz w:val="24"/>
                <w:szCs w:val="24"/>
              </w:rPr>
              <w:t xml:space="preserve">datorită examinării </w:t>
            </w:r>
            <w:r w:rsidR="00936FE0" w:rsidRPr="00031651">
              <w:rPr>
                <w:rFonts w:ascii="Times New Roman" w:hAnsi="Times New Roman" w:cs="Times New Roman"/>
                <w:sz w:val="24"/>
                <w:szCs w:val="24"/>
              </w:rPr>
              <w:lastRenderedPageBreak/>
              <w:t>post-mortem care stabilește cauza decesului</w:t>
            </w:r>
            <w:r w:rsidR="00233563" w:rsidRPr="00031651">
              <w:rPr>
                <w:rFonts w:ascii="Times New Roman" w:hAnsi="Times New Roman" w:cs="Times New Roman"/>
                <w:sz w:val="24"/>
                <w:szCs w:val="24"/>
              </w:rPr>
              <w:t xml:space="preserve"> și contribuie la prevenirea bolilor și afecțiunilor astfel descoperite </w:t>
            </w:r>
            <w:r w:rsidR="006748D2" w:rsidRPr="00031651">
              <w:rPr>
                <w:rFonts w:ascii="Times New Roman" w:hAnsi="Times New Roman" w:cs="Times New Roman"/>
                <w:sz w:val="24"/>
                <w:szCs w:val="24"/>
              </w:rPr>
              <w:t>la persoanele încă în viață</w:t>
            </w:r>
            <w:r w:rsidR="00B7080A" w:rsidRPr="00031651">
              <w:rPr>
                <w:rFonts w:ascii="Times New Roman" w:hAnsi="Times New Roman" w:cs="Times New Roman"/>
                <w:sz w:val="24"/>
                <w:szCs w:val="24"/>
              </w:rPr>
              <w:t>, potrivit cărora progresul medicinei moderne a fost posibil</w:t>
            </w:r>
            <w:r w:rsidR="00611FD1" w:rsidRPr="00031651">
              <w:rPr>
                <w:rFonts w:ascii="Times New Roman" w:hAnsi="Times New Roman" w:cs="Times New Roman"/>
                <w:sz w:val="24"/>
                <w:szCs w:val="24"/>
              </w:rPr>
              <w:t xml:space="preserve">, indiferent de convingerile religioase </w:t>
            </w:r>
            <w:r w:rsidR="001409EF" w:rsidRPr="00031651">
              <w:rPr>
                <w:rFonts w:ascii="Times New Roman" w:hAnsi="Times New Roman" w:cs="Times New Roman"/>
                <w:sz w:val="24"/>
                <w:szCs w:val="24"/>
              </w:rPr>
              <w:t>sau de altă natură, deci mortui vivos docent.</w:t>
            </w:r>
            <w:r w:rsidR="00C27B09" w:rsidRPr="00031651">
              <w:rPr>
                <w:rFonts w:ascii="Times New Roman" w:hAnsi="Times New Roman" w:cs="Times New Roman"/>
                <w:sz w:val="24"/>
                <w:szCs w:val="24"/>
              </w:rPr>
              <w:t xml:space="preserve"> Autopsia în Austria este recunoscută </w:t>
            </w:r>
            <w:r w:rsidR="00040780" w:rsidRPr="00031651">
              <w:rPr>
                <w:rFonts w:ascii="Times New Roman" w:hAnsi="Times New Roman" w:cs="Times New Roman"/>
                <w:sz w:val="24"/>
                <w:szCs w:val="24"/>
              </w:rPr>
              <w:t xml:space="preserve">ca parte integrantă a libertății științei. </w:t>
            </w:r>
          </w:p>
          <w:p w14:paraId="4C89CED7" w14:textId="0F2D778A" w:rsidR="00A47180" w:rsidRPr="00031651" w:rsidRDefault="00C7746D"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302E">
              <w:rPr>
                <w:rFonts w:ascii="Times New Roman" w:hAnsi="Times New Roman" w:cs="Times New Roman"/>
                <w:b/>
                <w:bCs/>
                <w:sz w:val="24"/>
                <w:szCs w:val="24"/>
              </w:rPr>
              <w:t>89</w:t>
            </w:r>
            <w:r w:rsidRPr="00031651">
              <w:rPr>
                <w:rFonts w:ascii="Times New Roman" w:hAnsi="Times New Roman" w:cs="Times New Roman"/>
                <w:sz w:val="24"/>
                <w:szCs w:val="24"/>
              </w:rPr>
              <w:t>. Curtea consideră însă că, în cazul reclamantei, motivele acesteia pentru opunerea la examinarea post-mortem a corpului fiului ei nu au fost luate în considerare de personalul spitalului public responsabil cu această decizie</w:t>
            </w:r>
            <w:r w:rsidR="001169DA" w:rsidRPr="00031651">
              <w:rPr>
                <w:rFonts w:ascii="Times New Roman" w:hAnsi="Times New Roman" w:cs="Times New Roman"/>
                <w:sz w:val="24"/>
                <w:szCs w:val="24"/>
              </w:rPr>
              <w:t>. Deși Curtea acceptă marja largă de apreciere a autorităților interne , în acest caz acestea nu par să fi efectuat niciun exercițiu de balansare între interesele concurente.</w:t>
            </w:r>
          </w:p>
          <w:p w14:paraId="339282FD" w14:textId="6925E7D0" w:rsidR="00AA08AD" w:rsidRPr="00031651" w:rsidRDefault="00AA08AD"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91.</w:t>
            </w:r>
            <w:r w:rsidRPr="00031651">
              <w:rPr>
                <w:rFonts w:ascii="Times New Roman" w:hAnsi="Times New Roman" w:cs="Times New Roman"/>
                <w:sz w:val="24"/>
                <w:szCs w:val="24"/>
              </w:rPr>
              <w:t xml:space="preserve"> Considerentele de mai sus sunt suficiente pentru a permite Curții să concluzioneze că autoritățile, în cazul de față, nu au realizat un echilibru just între interesele concurente aflate în joc, prin reconcilierea cerințelor de sănătate publică într-un grad cât mai ridicat cu dreptul la respectarea vieții private și de familie și nici nu au cântărit în mod corespunzător interesul reclamantei de a-și îngropa fiul în conformitate cu convingerile sale religioase. Această omisiune de a realiza un exercițiu de balansare a constituit o încălcare a articolelor 8 și 9 ale Convenției.</w:t>
            </w:r>
          </w:p>
        </w:tc>
        <w:tc>
          <w:tcPr>
            <w:tcW w:w="2693" w:type="dxa"/>
          </w:tcPr>
          <w:p w14:paraId="6FE7230B" w14:textId="77777777" w:rsidR="009E4369" w:rsidRPr="00031651" w:rsidRDefault="00A80CA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art.9 </w:t>
            </w:r>
          </w:p>
          <w:p w14:paraId="179003F3" w14:textId="77777777" w:rsidR="008E496A" w:rsidRPr="00031651" w:rsidRDefault="008E496A"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10 000 EUR</w:t>
            </w:r>
          </w:p>
          <w:p w14:paraId="101A4D6C" w14:textId="77777777" w:rsidR="008E496A" w:rsidRPr="00031651" w:rsidRDefault="008E496A"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(prejudiciu moral)</w:t>
            </w:r>
          </w:p>
          <w:p w14:paraId="40F9838E" w14:textId="77777777" w:rsidR="008E496A" w:rsidRPr="00031651" w:rsidRDefault="008E496A"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1DF79E3" w14:textId="77777777" w:rsidR="008E496A" w:rsidRPr="00031651" w:rsidRDefault="000F011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37 796,92 EUR</w:t>
            </w:r>
          </w:p>
          <w:p w14:paraId="16B7E793" w14:textId="6C8FC43F" w:rsidR="000F0116" w:rsidRPr="00031651" w:rsidRDefault="000F011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(costuri și cheltuieli)</w:t>
            </w:r>
          </w:p>
        </w:tc>
      </w:tr>
      <w:tr w:rsidR="009E4369" w:rsidRPr="00031651" w14:paraId="09F3B0C3"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05BACEB5" w14:textId="626888C4" w:rsidR="009E4369" w:rsidRPr="00031651" w:rsidRDefault="000F0116"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8</w:t>
            </w:r>
          </w:p>
        </w:tc>
        <w:tc>
          <w:tcPr>
            <w:tcW w:w="1525" w:type="dxa"/>
          </w:tcPr>
          <w:p w14:paraId="5D15156A" w14:textId="77777777" w:rsidR="009E4369" w:rsidRPr="00031651" w:rsidRDefault="003F0EA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Obligații pozitive </w:t>
            </w:r>
          </w:p>
          <w:p w14:paraId="6A98B4C4" w14:textId="749B4273" w:rsidR="003F0EA6" w:rsidRPr="00031651" w:rsidRDefault="003F0EA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633" w:type="dxa"/>
          </w:tcPr>
          <w:p w14:paraId="2F385A23" w14:textId="19DBF41B" w:rsidR="006F3CA4" w:rsidRPr="00031651" w:rsidRDefault="006F3CA4" w:rsidP="00E230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59813/19</w:t>
            </w:r>
          </w:p>
          <w:p w14:paraId="28ED9E3D" w14:textId="0D36ABC4" w:rsidR="006F3CA4" w:rsidRPr="00031651" w:rsidRDefault="003F0EA6" w:rsidP="00E230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26/11/2025</w:t>
            </w:r>
          </w:p>
          <w:p w14:paraId="49DBCE65" w14:textId="03C2383A" w:rsidR="00A64A92" w:rsidRPr="00031651" w:rsidRDefault="00A64A92" w:rsidP="00E2302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M.A vs Iceland</w:t>
            </w:r>
          </w:p>
          <w:p w14:paraId="7F5BBA30"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7D02AE5B" w14:textId="2C1621A6" w:rsidR="009E4369" w:rsidRPr="00031651" w:rsidRDefault="00E2302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58, 62, </w:t>
            </w:r>
            <w:r w:rsidR="0054521E">
              <w:rPr>
                <w:rFonts w:ascii="Times New Roman" w:hAnsi="Times New Roman" w:cs="Times New Roman"/>
                <w:sz w:val="24"/>
                <w:szCs w:val="24"/>
                <w:lang w:val="ro-RO"/>
              </w:rPr>
              <w:t>72, 75</w:t>
            </w:r>
          </w:p>
        </w:tc>
        <w:tc>
          <w:tcPr>
            <w:tcW w:w="1559" w:type="dxa"/>
          </w:tcPr>
          <w:p w14:paraId="6AE7E10D" w14:textId="0F0FC8D6" w:rsidR="009E4369" w:rsidRPr="00031651" w:rsidRDefault="00631695" w:rsidP="009E43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Viața privată, </w:t>
            </w:r>
            <w:r w:rsidR="00642F70" w:rsidRPr="00031651">
              <w:rPr>
                <w:rFonts w:ascii="Times New Roman" w:hAnsi="Times New Roman" w:cs="Times New Roman"/>
                <w:sz w:val="24"/>
                <w:szCs w:val="24"/>
                <w:lang w:val="ro-RO"/>
              </w:rPr>
              <w:t>violență domestică</w:t>
            </w:r>
            <w:r w:rsidR="00D4533A" w:rsidRPr="00031651">
              <w:rPr>
                <w:rFonts w:ascii="Times New Roman" w:hAnsi="Times New Roman" w:cs="Times New Roman"/>
                <w:sz w:val="24"/>
                <w:szCs w:val="24"/>
                <w:lang w:val="ro-RO"/>
              </w:rPr>
              <w:t xml:space="preserve">, </w:t>
            </w:r>
            <w:r w:rsidR="00573BFA" w:rsidRPr="00031651">
              <w:rPr>
                <w:rFonts w:ascii="Times New Roman" w:hAnsi="Times New Roman" w:cs="Times New Roman"/>
                <w:sz w:val="24"/>
                <w:szCs w:val="24"/>
                <w:lang w:val="ro-RO"/>
              </w:rPr>
              <w:t>amenințare</w:t>
            </w:r>
            <w:r w:rsidR="001D411E" w:rsidRPr="00031651">
              <w:rPr>
                <w:rFonts w:ascii="Times New Roman" w:hAnsi="Times New Roman" w:cs="Times New Roman"/>
                <w:sz w:val="24"/>
                <w:szCs w:val="24"/>
                <w:lang w:val="ro-RO"/>
              </w:rPr>
              <w:t>, investigații</w:t>
            </w:r>
          </w:p>
        </w:tc>
        <w:tc>
          <w:tcPr>
            <w:tcW w:w="6804" w:type="dxa"/>
          </w:tcPr>
          <w:p w14:paraId="1D6464BA" w14:textId="385A94E3" w:rsidR="009E4369" w:rsidRPr="00031651" w:rsidRDefault="000A70D7"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1651">
              <w:rPr>
                <w:rFonts w:ascii="Times New Roman" w:hAnsi="Times New Roman" w:cs="Times New Roman"/>
                <w:b/>
                <w:bCs/>
                <w:sz w:val="24"/>
                <w:szCs w:val="24"/>
              </w:rPr>
              <w:t xml:space="preserve">58. </w:t>
            </w:r>
            <w:r w:rsidR="00E2302E">
              <w:rPr>
                <w:rFonts w:ascii="Times New Roman" w:hAnsi="Times New Roman" w:cs="Times New Roman"/>
                <w:sz w:val="24"/>
                <w:szCs w:val="24"/>
              </w:rPr>
              <w:t>Curtea a stabil</w:t>
            </w:r>
            <w:r w:rsidR="0054521E">
              <w:rPr>
                <w:rFonts w:ascii="Times New Roman" w:hAnsi="Times New Roman" w:cs="Times New Roman"/>
                <w:sz w:val="24"/>
                <w:szCs w:val="24"/>
              </w:rPr>
              <w:t>it că o</w:t>
            </w:r>
            <w:r w:rsidRPr="00031651">
              <w:rPr>
                <w:rFonts w:ascii="Times New Roman" w:hAnsi="Times New Roman" w:cs="Times New Roman"/>
                <w:sz w:val="24"/>
                <w:szCs w:val="24"/>
              </w:rPr>
              <w:t>bligația pozitivă a autorităților de a proteja victimele violenței are trei aspecte esențiale. În primul rând, acestea trebuie să instituie un cadru legislativ și de reglementare pentru protecție. În al doilea rând, în anumite circumstanțe clar definite, ele sunt obligate să răspundă prompt la sesizările privind violența domestică și să adopte măsuri operaționale pentru a proteja persoanele expuse riscului de rele tratamente. În al treilea rând, acestea trebuie să desfășoare o investigație efectivă asupra plângerilor „susceptibile de a fi întemeiate” privind fiecare incident de rele tratamente.</w:t>
            </w:r>
          </w:p>
          <w:p w14:paraId="02E11B1D" w14:textId="77777777" w:rsidR="00D36EE4" w:rsidRPr="00031651" w:rsidRDefault="00D36EE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62. </w:t>
            </w:r>
            <w:r w:rsidR="0028305A" w:rsidRPr="00031651">
              <w:rPr>
                <w:rFonts w:ascii="Times New Roman" w:hAnsi="Times New Roman" w:cs="Times New Roman"/>
                <w:sz w:val="24"/>
                <w:szCs w:val="24"/>
              </w:rPr>
              <w:t xml:space="preserve">Curtea consideră că nu este necesar să stabilească dacă violența pretinsă a avut un grad suficient de gravitate pentru a intra în domeniul de aplicare al articolului 3 al Convenției, deoarece, </w:t>
            </w:r>
            <w:r w:rsidR="0028305A" w:rsidRPr="00031651">
              <w:rPr>
                <w:rFonts w:ascii="Times New Roman" w:hAnsi="Times New Roman" w:cs="Times New Roman"/>
                <w:sz w:val="24"/>
                <w:szCs w:val="24"/>
              </w:rPr>
              <w:lastRenderedPageBreak/>
              <w:t>oricum, autoritățile naționale aveau o obligație pozitivă identică de a proteja victimele violenței în temeiul articolului 8 al Convenției.</w:t>
            </w:r>
          </w:p>
          <w:p w14:paraId="5CB1A3A3" w14:textId="087EF2CB" w:rsidR="0028305A" w:rsidRPr="00031651" w:rsidRDefault="00B754BE"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1651">
              <w:rPr>
                <w:rFonts w:ascii="Times New Roman" w:hAnsi="Times New Roman" w:cs="Times New Roman"/>
                <w:b/>
                <w:bCs/>
                <w:sz w:val="24"/>
                <w:szCs w:val="24"/>
              </w:rPr>
              <w:t xml:space="preserve">75. </w:t>
            </w:r>
            <w:r w:rsidRPr="00031651">
              <w:rPr>
                <w:rFonts w:ascii="Times New Roman" w:hAnsi="Times New Roman" w:cs="Times New Roman"/>
                <w:sz w:val="24"/>
                <w:szCs w:val="24"/>
              </w:rPr>
              <w:t>Curtea a identificat astfel o deficiență esențială în reacția autorităților la acuzațiile reclamantei. Ancheta a fost marcată de întârzieri și confuzie administrativă, ceea ce a dus la împlinirea termenelor de prescripție în pofida faptului că autoritățile erau conștiente de apropierea acestor termene și în pofida instrucțiunilor repetate ale procurorului de a urgenta cauza. Faptul că ulterior H.M.S. a fost condamnat pentru amenințări împotriva reclamantei, din cauza comunicării acesteia cu poliția, nu face decât să accentueze gravitatea eșecului autorităților de a asigura o investigație efectivă a presupusei violențe fizice.</w:t>
            </w:r>
          </w:p>
        </w:tc>
        <w:tc>
          <w:tcPr>
            <w:tcW w:w="2693" w:type="dxa"/>
          </w:tcPr>
          <w:p w14:paraId="5F83A609" w14:textId="77777777" w:rsidR="009E4369" w:rsidRPr="00031651" w:rsidRDefault="0008318D"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art.8 </w:t>
            </w:r>
          </w:p>
          <w:p w14:paraId="785F42ED" w14:textId="77777777" w:rsidR="0008318D" w:rsidRPr="00031651" w:rsidRDefault="0008318D"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(aspect procedural)</w:t>
            </w:r>
          </w:p>
          <w:p w14:paraId="3FCA5047" w14:textId="77777777" w:rsidR="00D70B18" w:rsidRPr="00031651" w:rsidRDefault="00D70B1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4682F03B" w14:textId="77777777" w:rsidR="00D70B18" w:rsidRPr="00031651" w:rsidRDefault="00640BD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7500 EUR </w:t>
            </w:r>
          </w:p>
          <w:p w14:paraId="75F18B28" w14:textId="77777777" w:rsidR="00640BDF" w:rsidRPr="00031651" w:rsidRDefault="00640BD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(prejudiciu moral)</w:t>
            </w:r>
          </w:p>
          <w:p w14:paraId="25DF7E0E" w14:textId="68896121" w:rsidR="00640BDF" w:rsidRPr="00031651" w:rsidRDefault="00640BD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9E4369" w:rsidRPr="00031651" w14:paraId="49263E35"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72313182" w14:textId="459E1FB1" w:rsidR="009E4369" w:rsidRPr="00031651" w:rsidRDefault="00FE48C7" w:rsidP="00B04FC2">
            <w:pPr>
              <w:jc w:val="center"/>
              <w:rPr>
                <w:rFonts w:ascii="Times New Roman" w:hAnsi="Times New Roman" w:cs="Times New Roman"/>
                <w:sz w:val="24"/>
                <w:szCs w:val="24"/>
                <w:lang w:val="ro-RO"/>
              </w:rPr>
            </w:pPr>
            <w:r w:rsidRPr="00031651">
              <w:rPr>
                <w:rFonts w:ascii="Times New Roman" w:hAnsi="Times New Roman" w:cs="Times New Roman"/>
                <w:sz w:val="24"/>
                <w:szCs w:val="24"/>
                <w:lang w:val="ro-RO"/>
              </w:rPr>
              <w:t>6</w:t>
            </w:r>
            <w:r w:rsidR="00C404B3" w:rsidRPr="00031651">
              <w:rPr>
                <w:rFonts w:ascii="Times New Roman" w:hAnsi="Times New Roman" w:cs="Times New Roman"/>
                <w:sz w:val="24"/>
                <w:szCs w:val="24"/>
                <w:lang w:val="ro-RO"/>
              </w:rPr>
              <w:t xml:space="preserve"> </w:t>
            </w:r>
            <w:r w:rsidR="009E118B" w:rsidRPr="00031651">
              <w:rPr>
                <w:rFonts w:ascii="Times New Roman" w:hAnsi="Times New Roman" w:cs="Times New Roman"/>
                <w:sz w:val="24"/>
                <w:szCs w:val="24"/>
              </w:rPr>
              <w:t>§ 1</w:t>
            </w:r>
          </w:p>
        </w:tc>
        <w:tc>
          <w:tcPr>
            <w:tcW w:w="1525" w:type="dxa"/>
          </w:tcPr>
          <w:p w14:paraId="64454894" w14:textId="731431E3" w:rsidR="009E4369" w:rsidRPr="00031651" w:rsidRDefault="0048419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Dreptul la un proces echitabil </w:t>
            </w:r>
          </w:p>
        </w:tc>
        <w:tc>
          <w:tcPr>
            <w:tcW w:w="1633" w:type="dxa"/>
          </w:tcPr>
          <w:p w14:paraId="6E4A4779" w14:textId="00B53400" w:rsidR="002E4024" w:rsidRPr="00031651" w:rsidRDefault="0097510A" w:rsidP="005452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28873/22</w:t>
            </w:r>
          </w:p>
          <w:p w14:paraId="7370AF8F" w14:textId="416A0C44" w:rsidR="0097510A" w:rsidRPr="00031651" w:rsidRDefault="0097510A" w:rsidP="005452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08/10/2025</w:t>
            </w:r>
          </w:p>
          <w:p w14:paraId="56864CC0" w14:textId="68159C3E" w:rsidR="00A64A92" w:rsidRPr="00031651" w:rsidRDefault="00A64A92" w:rsidP="0054521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Ismailaj și alții contra Albania</w:t>
            </w:r>
          </w:p>
          <w:p w14:paraId="50FE3573" w14:textId="77777777" w:rsidR="009E4369" w:rsidRPr="00031651" w:rsidRDefault="009E4369" w:rsidP="00A64A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435554E5" w14:textId="31BE6D04" w:rsidR="009E4369" w:rsidRPr="00031651" w:rsidRDefault="0054521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41, </w:t>
            </w:r>
            <w:r w:rsidR="00097F8B">
              <w:rPr>
                <w:rFonts w:ascii="Times New Roman" w:hAnsi="Times New Roman" w:cs="Times New Roman"/>
                <w:sz w:val="24"/>
                <w:szCs w:val="24"/>
                <w:lang w:val="ro-RO"/>
              </w:rPr>
              <w:t xml:space="preserve">45, 46, </w:t>
            </w:r>
          </w:p>
        </w:tc>
        <w:tc>
          <w:tcPr>
            <w:tcW w:w="1559" w:type="dxa"/>
          </w:tcPr>
          <w:p w14:paraId="3BA6A00C" w14:textId="25032291" w:rsidR="009E4369" w:rsidRPr="00031651" w:rsidRDefault="00A0009D" w:rsidP="009E43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Părtinire</w:t>
            </w:r>
            <w:r w:rsidR="00AD13EC" w:rsidRPr="00031651">
              <w:rPr>
                <w:rFonts w:ascii="Times New Roman" w:hAnsi="Times New Roman" w:cs="Times New Roman"/>
                <w:sz w:val="24"/>
                <w:szCs w:val="24"/>
                <w:lang w:val="ro-RO"/>
              </w:rPr>
              <w:t xml:space="preserve">a Curții, </w:t>
            </w:r>
            <w:r w:rsidR="00941206" w:rsidRPr="00031651">
              <w:rPr>
                <w:rFonts w:ascii="Times New Roman" w:hAnsi="Times New Roman" w:cs="Times New Roman"/>
                <w:sz w:val="24"/>
                <w:szCs w:val="24"/>
                <w:lang w:val="ro-RO"/>
              </w:rPr>
              <w:t>cont</w:t>
            </w:r>
            <w:r w:rsidR="00DC7AF1" w:rsidRPr="00031651">
              <w:rPr>
                <w:rFonts w:ascii="Times New Roman" w:hAnsi="Times New Roman" w:cs="Times New Roman"/>
                <w:sz w:val="24"/>
                <w:szCs w:val="24"/>
                <w:lang w:val="ro-RO"/>
              </w:rPr>
              <w:t>uri bancare</w:t>
            </w:r>
            <w:r w:rsidR="00817F00" w:rsidRPr="00031651">
              <w:rPr>
                <w:rFonts w:ascii="Times New Roman" w:hAnsi="Times New Roman" w:cs="Times New Roman"/>
                <w:sz w:val="24"/>
                <w:szCs w:val="24"/>
                <w:lang w:val="ro-RO"/>
              </w:rPr>
              <w:t xml:space="preserve">, </w:t>
            </w:r>
            <w:r w:rsidR="00495539" w:rsidRPr="00031651">
              <w:rPr>
                <w:rFonts w:ascii="Times New Roman" w:hAnsi="Times New Roman" w:cs="Times New Roman"/>
                <w:sz w:val="24"/>
                <w:szCs w:val="24"/>
                <w:lang w:val="ro-RO"/>
              </w:rPr>
              <w:t>spălare de bani</w:t>
            </w:r>
            <w:r w:rsidR="00584472" w:rsidRPr="00031651">
              <w:rPr>
                <w:rFonts w:ascii="Times New Roman" w:hAnsi="Times New Roman" w:cs="Times New Roman"/>
                <w:sz w:val="24"/>
                <w:szCs w:val="24"/>
                <w:lang w:val="ro-RO"/>
              </w:rPr>
              <w:t>, Anti-mafia</w:t>
            </w:r>
            <w:r w:rsidR="005C5B64" w:rsidRPr="00031651">
              <w:rPr>
                <w:rFonts w:ascii="Times New Roman" w:hAnsi="Times New Roman" w:cs="Times New Roman"/>
                <w:sz w:val="24"/>
                <w:szCs w:val="24"/>
                <w:lang w:val="ro-RO"/>
              </w:rPr>
              <w:t xml:space="preserve">, </w:t>
            </w:r>
            <w:r w:rsidR="00584472" w:rsidRPr="00031651">
              <w:rPr>
                <w:rFonts w:ascii="Times New Roman" w:hAnsi="Times New Roman" w:cs="Times New Roman"/>
                <w:sz w:val="24"/>
                <w:szCs w:val="24"/>
                <w:lang w:val="ro-RO"/>
              </w:rPr>
              <w:t xml:space="preserve"> </w:t>
            </w:r>
            <w:r w:rsidR="00176C6E" w:rsidRPr="00031651">
              <w:rPr>
                <w:rFonts w:ascii="Times New Roman" w:hAnsi="Times New Roman" w:cs="Times New Roman"/>
                <w:sz w:val="24"/>
                <w:szCs w:val="24"/>
                <w:lang w:val="ro-RO"/>
              </w:rPr>
              <w:t>lipsa imparțialității judecătorului</w:t>
            </w:r>
          </w:p>
        </w:tc>
        <w:tc>
          <w:tcPr>
            <w:tcW w:w="6804" w:type="dxa"/>
          </w:tcPr>
          <w:p w14:paraId="1033CCED" w14:textId="2B477842" w:rsidR="009E4369" w:rsidRPr="00031651" w:rsidRDefault="00B02CD6"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 xml:space="preserve">41. </w:t>
            </w:r>
            <w:r w:rsidRPr="00031651">
              <w:rPr>
                <w:rFonts w:ascii="Times New Roman" w:hAnsi="Times New Roman" w:cs="Times New Roman"/>
                <w:sz w:val="24"/>
                <w:szCs w:val="24"/>
              </w:rPr>
              <w:t>Curtea observă că temerile reclamanților privind imparțialitatea Curții Supreme își au originea în faptul că același judecător, K.K., care anterior a examinat fondul unor proceduri strâns legate împotriva a doi dintre reclamanți, a făcut parte din completul acelei instanțe. Se poate accepta că această situație ar putea genera îndoieli în percepția reclamanților cu privire la imparțialitatea acelei instanțe. Totuși, Curtea trebuie să decidă dacă aceste îndoieli erau justificate în mod obiectiv</w:t>
            </w:r>
            <w:r w:rsidR="00097F8B">
              <w:rPr>
                <w:rFonts w:ascii="Times New Roman" w:hAnsi="Times New Roman" w:cs="Times New Roman"/>
                <w:sz w:val="24"/>
                <w:szCs w:val="24"/>
              </w:rPr>
              <w:t xml:space="preserve">. </w:t>
            </w:r>
            <w:r w:rsidRPr="00031651">
              <w:rPr>
                <w:rFonts w:ascii="Times New Roman" w:hAnsi="Times New Roman" w:cs="Times New Roman"/>
                <w:sz w:val="24"/>
                <w:szCs w:val="24"/>
              </w:rPr>
              <w:t>Răspunsul la această întrebare depinde de o evaluare a circumstanțelor individuale ale fiecărei cauze. Prin urmare, Curtea trebuie să aprecieze dacă aspectele examinate de instanța de fond împotriva reclamantului în proceduri separate erau analoge celor analizate de Curtea Supremă în procedurile contestate și, în caz afirmativ, dacă instanța supremă s-a pronunțat asupra fondului acelorași chestiuni juridice.</w:t>
            </w:r>
          </w:p>
          <w:p w14:paraId="7EA6090C" w14:textId="72A75903" w:rsidR="008F118E" w:rsidRPr="00031651" w:rsidRDefault="0042298C"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31651">
              <w:rPr>
                <w:rFonts w:ascii="Times New Roman" w:hAnsi="Times New Roman" w:cs="Times New Roman"/>
                <w:b/>
                <w:bCs/>
                <w:sz w:val="24"/>
                <w:szCs w:val="24"/>
              </w:rPr>
              <w:t xml:space="preserve">45. </w:t>
            </w:r>
            <w:r w:rsidRPr="00031651">
              <w:rPr>
                <w:rFonts w:ascii="Times New Roman" w:hAnsi="Times New Roman" w:cs="Times New Roman"/>
                <w:sz w:val="24"/>
                <w:szCs w:val="24"/>
              </w:rPr>
              <w:t xml:space="preserve">Curtea consideră întemeiate argumentele reclamanților. În circumstanțele prezentei cauze, nu era nerezonabil ca reclamanții să considere că judecătorul K.K., care a făcut parte din completul Curții Supreme, ar fi putut avea o opinie preconcepută asupra fondului cauzei (și anume, legalitatea generală a confiscărilor), având în vedere că acesta soluționase în primă instanță proceduri foarte similare împotriva a două dintre aceleași părți. Prin urmare, ar putea apărea îndoieli obiectiv justificate cu privire la imparțialitatea </w:t>
            </w:r>
            <w:r w:rsidRPr="00031651">
              <w:rPr>
                <w:rFonts w:ascii="Times New Roman" w:hAnsi="Times New Roman" w:cs="Times New Roman"/>
                <w:sz w:val="24"/>
                <w:szCs w:val="24"/>
              </w:rPr>
              <w:lastRenderedPageBreak/>
              <w:t>sa. Curtea are în vedere faptul că, în sistemul albanez de control în casație, Curtea Supremă acționează ca instanță de drept, cu o competență limitată de examinare a aplicării dreptului material sau procesual de către instanțele inferioare. Cu toate acestea, Curtea observă că, în prezenta cauză, completul Curții Supreme</w:t>
            </w:r>
            <w:r w:rsidRPr="00031651">
              <w:rPr>
                <w:rFonts w:ascii="Times New Roman" w:hAnsi="Times New Roman" w:cs="Times New Roman"/>
                <w:b/>
                <w:bCs/>
                <w:sz w:val="24"/>
                <w:szCs w:val="24"/>
              </w:rPr>
              <w:t xml:space="preserve"> s-</w:t>
            </w:r>
            <w:r w:rsidRPr="00031651">
              <w:rPr>
                <w:rFonts w:ascii="Times New Roman" w:hAnsi="Times New Roman" w:cs="Times New Roman"/>
                <w:sz w:val="24"/>
                <w:szCs w:val="24"/>
              </w:rPr>
              <w:t>a exprimat, într-o anumită măsură, cu privire la fondul cauzei, atunci când a decis asupra admisibilității recursului. În consecință, Curtea este de părere că judecătorul K.K. s-a aflat într-o situație în care, în mod efectiv, era chemat să se pronunțe asupra propriei interpretări juridice anterioare sau a aplicării dreptului material în proceduri strâns legate împotriva reclamanților.</w:t>
            </w:r>
          </w:p>
          <w:p w14:paraId="0256B173" w14:textId="5A67E97E" w:rsidR="00D87BFC" w:rsidRPr="007E3F75" w:rsidRDefault="00373BBB"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b/>
                <w:bCs/>
                <w:sz w:val="24"/>
                <w:szCs w:val="24"/>
              </w:rPr>
              <w:t>46.</w:t>
            </w:r>
            <w:r w:rsidR="00C66595" w:rsidRPr="00031651">
              <w:rPr>
                <w:rFonts w:ascii="Times New Roman" w:hAnsi="Times New Roman" w:cs="Times New Roman"/>
                <w:b/>
                <w:bCs/>
                <w:sz w:val="24"/>
                <w:szCs w:val="24"/>
              </w:rPr>
              <w:t xml:space="preserve"> </w:t>
            </w:r>
            <w:r w:rsidR="00C66595" w:rsidRPr="00031651">
              <w:rPr>
                <w:rFonts w:ascii="Times New Roman" w:hAnsi="Times New Roman" w:cs="Times New Roman"/>
                <w:sz w:val="24"/>
                <w:szCs w:val="24"/>
              </w:rPr>
              <w:t>nu există nicio informație cu privire la faptul dacă completul Curții Supreme a examinat din oficiu potențialul conflict de interese. În astfel de circumstanțe, orice judecător în privința căruia poate exista un motiv legitim de a teme o lipsă de imparțialitate trebuie să ia în considerare necesitatea de a se abține de la judecarea cauzei.</w:t>
            </w:r>
            <w:r w:rsidR="00F90F08" w:rsidRPr="00031651">
              <w:rPr>
                <w:rFonts w:ascii="Times New Roman" w:hAnsi="Times New Roman" w:cs="Times New Roman"/>
                <w:sz w:val="24"/>
                <w:szCs w:val="24"/>
              </w:rPr>
              <w:t xml:space="preserve"> În mod specific, revine judecătorului individual responsabilitatea de a identifica orice impedimente care i-ar afecta participarea și fie de a se retrage, fie – atunci când se confruntă cu o situație în care se poate argumenta că ar trebui să fie descalificat, chiar dacă nu este eliminat în mod neechivoc de lege – de a aduce această chestiune la cunoștința părților, pentru a le permite să conteste participarea judecătorului.</w:t>
            </w:r>
          </w:p>
        </w:tc>
        <w:tc>
          <w:tcPr>
            <w:tcW w:w="2693" w:type="dxa"/>
          </w:tcPr>
          <w:p w14:paraId="42E0FA31" w14:textId="77777777" w:rsidR="009E4369" w:rsidRPr="00031651" w:rsidRDefault="00C404B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lang w:val="ro-RO"/>
              </w:rPr>
              <w:lastRenderedPageBreak/>
              <w:t xml:space="preserve">Violare </w:t>
            </w:r>
            <w:r w:rsidR="009E118B" w:rsidRPr="00031651">
              <w:rPr>
                <w:rFonts w:ascii="Times New Roman" w:hAnsi="Times New Roman" w:cs="Times New Roman"/>
                <w:sz w:val="24"/>
                <w:szCs w:val="24"/>
                <w:lang w:val="ro-RO"/>
              </w:rPr>
              <w:t xml:space="preserve">art. 6 </w:t>
            </w:r>
            <w:r w:rsidR="009E118B" w:rsidRPr="00031651">
              <w:rPr>
                <w:rFonts w:ascii="Times New Roman" w:hAnsi="Times New Roman" w:cs="Times New Roman"/>
                <w:sz w:val="24"/>
                <w:szCs w:val="24"/>
              </w:rPr>
              <w:t>§ 1</w:t>
            </w:r>
          </w:p>
          <w:p w14:paraId="11F49C62" w14:textId="77777777" w:rsidR="009E118B" w:rsidRPr="00031651" w:rsidRDefault="009E118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276DA43" w14:textId="77777777" w:rsidR="009E118B" w:rsidRPr="00031651" w:rsidRDefault="009E118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 xml:space="preserve">3 500 EUR </w:t>
            </w:r>
          </w:p>
          <w:p w14:paraId="6AD3C7D8" w14:textId="77777777" w:rsidR="009E118B" w:rsidRPr="00031651" w:rsidRDefault="009E118B"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w:t>
            </w:r>
            <w:r w:rsidR="00E20100" w:rsidRPr="00031651">
              <w:rPr>
                <w:rFonts w:ascii="Times New Roman" w:hAnsi="Times New Roman" w:cs="Times New Roman"/>
                <w:sz w:val="24"/>
                <w:szCs w:val="24"/>
              </w:rPr>
              <w:t>prejudiciu moral</w:t>
            </w:r>
            <w:r w:rsidRPr="00031651">
              <w:rPr>
                <w:rFonts w:ascii="Times New Roman" w:hAnsi="Times New Roman" w:cs="Times New Roman"/>
                <w:sz w:val="24"/>
                <w:szCs w:val="24"/>
              </w:rPr>
              <w:t>)</w:t>
            </w:r>
          </w:p>
          <w:p w14:paraId="669A81C1" w14:textId="77777777" w:rsidR="00E20100" w:rsidRPr="00031651" w:rsidRDefault="00E2010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88FEC5B" w14:textId="77777777" w:rsidR="00E20100" w:rsidRPr="00031651" w:rsidRDefault="00E2010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651">
              <w:rPr>
                <w:rFonts w:ascii="Times New Roman" w:hAnsi="Times New Roman" w:cs="Times New Roman"/>
                <w:sz w:val="24"/>
                <w:szCs w:val="24"/>
              </w:rPr>
              <w:t>5</w:t>
            </w:r>
            <w:r w:rsidR="00562BB5" w:rsidRPr="00031651">
              <w:rPr>
                <w:rFonts w:ascii="Times New Roman" w:hAnsi="Times New Roman" w:cs="Times New Roman"/>
                <w:sz w:val="24"/>
                <w:szCs w:val="24"/>
              </w:rPr>
              <w:t xml:space="preserve"> </w:t>
            </w:r>
            <w:r w:rsidRPr="00031651">
              <w:rPr>
                <w:rFonts w:ascii="Times New Roman" w:hAnsi="Times New Roman" w:cs="Times New Roman"/>
                <w:sz w:val="24"/>
                <w:szCs w:val="24"/>
              </w:rPr>
              <w:t xml:space="preserve">000 EUR </w:t>
            </w:r>
          </w:p>
          <w:p w14:paraId="52E22806" w14:textId="16BB6B3B" w:rsidR="00562BB5" w:rsidRPr="00031651" w:rsidRDefault="00562BB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rPr>
              <w:t>(</w:t>
            </w:r>
            <w:r w:rsidR="00D87BFC" w:rsidRPr="00031651">
              <w:rPr>
                <w:rFonts w:ascii="Times New Roman" w:hAnsi="Times New Roman" w:cs="Times New Roman"/>
                <w:sz w:val="24"/>
                <w:szCs w:val="24"/>
              </w:rPr>
              <w:t>costuri și cheltuieli</w:t>
            </w:r>
            <w:r w:rsidRPr="00031651">
              <w:rPr>
                <w:rFonts w:ascii="Times New Roman" w:hAnsi="Times New Roman" w:cs="Times New Roman"/>
                <w:sz w:val="24"/>
                <w:szCs w:val="24"/>
              </w:rPr>
              <w:t>)</w:t>
            </w:r>
          </w:p>
        </w:tc>
      </w:tr>
      <w:tr w:rsidR="009E4369" w:rsidRPr="00031651" w14:paraId="5987E440"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6CE20F72" w14:textId="41344F2B" w:rsidR="009E4369" w:rsidRPr="00031651" w:rsidRDefault="00933896"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t>5</w:t>
            </w:r>
            <w:r w:rsidR="00AB6AFC" w:rsidRPr="00031651">
              <w:rPr>
                <w:rFonts w:ascii="Times New Roman" w:hAnsi="Times New Roman" w:cs="Times New Roman"/>
                <w:b w:val="0"/>
                <w:bCs w:val="0"/>
                <w:sz w:val="24"/>
                <w:szCs w:val="24"/>
                <w:lang w:val="ro-RO"/>
              </w:rPr>
              <w:t xml:space="preserve"> </w:t>
            </w:r>
            <w:r w:rsidR="00AB6AFC" w:rsidRPr="00031651">
              <w:rPr>
                <w:rFonts w:ascii="Times New Roman" w:hAnsi="Times New Roman" w:cs="Times New Roman"/>
                <w:b w:val="0"/>
                <w:bCs w:val="0"/>
                <w:sz w:val="24"/>
                <w:szCs w:val="24"/>
              </w:rPr>
              <w:t>§ 1, 2, 3</w:t>
            </w:r>
          </w:p>
        </w:tc>
        <w:tc>
          <w:tcPr>
            <w:tcW w:w="1525" w:type="dxa"/>
          </w:tcPr>
          <w:p w14:paraId="377768C6" w14:textId="082FBC4E" w:rsidR="009E4369" w:rsidRPr="00031651" w:rsidRDefault="004C01E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Detenți</w:t>
            </w:r>
            <w:r w:rsidR="00F1192A" w:rsidRPr="00031651">
              <w:rPr>
                <w:rFonts w:ascii="Times New Roman" w:hAnsi="Times New Roman" w:cs="Times New Roman"/>
                <w:sz w:val="24"/>
                <w:szCs w:val="24"/>
                <w:lang w:val="ro-RO"/>
              </w:rPr>
              <w:t>e</w:t>
            </w:r>
            <w:r w:rsidRPr="00031651">
              <w:rPr>
                <w:rFonts w:ascii="Times New Roman" w:hAnsi="Times New Roman" w:cs="Times New Roman"/>
                <w:sz w:val="24"/>
                <w:szCs w:val="24"/>
                <w:lang w:val="ro-RO"/>
              </w:rPr>
              <w:t xml:space="preserve"> ilegală</w:t>
            </w:r>
          </w:p>
        </w:tc>
        <w:tc>
          <w:tcPr>
            <w:tcW w:w="1633" w:type="dxa"/>
          </w:tcPr>
          <w:p w14:paraId="3B1628E3" w14:textId="492A5DA6" w:rsidR="002F4231" w:rsidRPr="00031651" w:rsidRDefault="00BE56F7" w:rsidP="00A64A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38336/21</w:t>
            </w:r>
          </w:p>
          <w:p w14:paraId="2ADF302E" w14:textId="57B91F16" w:rsidR="00BE56F7" w:rsidRPr="00031651" w:rsidRDefault="00BE56F7" w:rsidP="00A64A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26/11/2025</w:t>
            </w:r>
          </w:p>
          <w:p w14:paraId="331C1118" w14:textId="0749F3AF" w:rsidR="00A64A92" w:rsidRPr="00031651" w:rsidRDefault="00A64A92" w:rsidP="00A64A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Atanasije Ristic contra Serbiei  </w:t>
            </w:r>
          </w:p>
          <w:p w14:paraId="7AFB3E2E"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138D6B24" w14:textId="3F96CE5F" w:rsidR="009E4369" w:rsidRPr="00031651" w:rsidRDefault="00C5369D"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40, 41, 42, 43</w:t>
            </w:r>
          </w:p>
        </w:tc>
        <w:tc>
          <w:tcPr>
            <w:tcW w:w="1559" w:type="dxa"/>
          </w:tcPr>
          <w:p w14:paraId="33540471" w14:textId="73DDAEBC" w:rsidR="009E4369" w:rsidRPr="00031651" w:rsidRDefault="009C7FB3" w:rsidP="009E43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Pachet de plastic</w:t>
            </w:r>
            <w:r w:rsidR="005A1359" w:rsidRPr="00031651">
              <w:rPr>
                <w:rFonts w:ascii="Times New Roman" w:hAnsi="Times New Roman" w:cs="Times New Roman"/>
                <w:sz w:val="24"/>
                <w:szCs w:val="24"/>
                <w:lang w:val="ro-RO"/>
              </w:rPr>
              <w:t xml:space="preserve"> înghițit</w:t>
            </w:r>
            <w:r w:rsidRPr="00031651">
              <w:rPr>
                <w:rFonts w:ascii="Times New Roman" w:hAnsi="Times New Roman" w:cs="Times New Roman"/>
                <w:sz w:val="24"/>
                <w:szCs w:val="24"/>
                <w:lang w:val="ro-RO"/>
              </w:rPr>
              <w:t xml:space="preserve">, </w:t>
            </w:r>
            <w:r w:rsidR="00A1093E" w:rsidRPr="00031651">
              <w:rPr>
                <w:rFonts w:ascii="Times New Roman" w:hAnsi="Times New Roman" w:cs="Times New Roman"/>
                <w:sz w:val="24"/>
                <w:szCs w:val="24"/>
                <w:lang w:val="ro-RO"/>
              </w:rPr>
              <w:t>refuz de a se preda</w:t>
            </w:r>
            <w:r w:rsidR="005A1359" w:rsidRPr="00031651">
              <w:rPr>
                <w:rFonts w:ascii="Times New Roman" w:hAnsi="Times New Roman" w:cs="Times New Roman"/>
                <w:sz w:val="24"/>
                <w:szCs w:val="24"/>
                <w:lang w:val="ro-RO"/>
              </w:rPr>
              <w:t xml:space="preserve">, </w:t>
            </w:r>
            <w:r w:rsidR="005D7AC0" w:rsidRPr="00031651">
              <w:rPr>
                <w:rFonts w:ascii="Times New Roman" w:hAnsi="Times New Roman" w:cs="Times New Roman"/>
                <w:sz w:val="24"/>
                <w:szCs w:val="24"/>
                <w:lang w:val="ro-RO"/>
              </w:rPr>
              <w:t>laxativ</w:t>
            </w:r>
            <w:r w:rsidR="005C799D" w:rsidRPr="00031651">
              <w:rPr>
                <w:rFonts w:ascii="Times New Roman" w:hAnsi="Times New Roman" w:cs="Times New Roman"/>
                <w:sz w:val="24"/>
                <w:szCs w:val="24"/>
                <w:lang w:val="ro-RO"/>
              </w:rPr>
              <w:t>, droguri</w:t>
            </w:r>
          </w:p>
        </w:tc>
        <w:tc>
          <w:tcPr>
            <w:tcW w:w="6804" w:type="dxa"/>
          </w:tcPr>
          <w:p w14:paraId="294F56F8" w14:textId="3DA0C0FE" w:rsidR="009E4369" w:rsidRPr="00031651" w:rsidRDefault="00274B3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C5369D">
              <w:rPr>
                <w:rFonts w:ascii="Times New Roman" w:hAnsi="Times New Roman" w:cs="Times New Roman"/>
                <w:b/>
                <w:bCs/>
                <w:sz w:val="24"/>
                <w:szCs w:val="24"/>
              </w:rPr>
              <w:t>40</w:t>
            </w:r>
            <w:r w:rsidRPr="00031651">
              <w:rPr>
                <w:rFonts w:ascii="Times New Roman" w:hAnsi="Times New Roman" w:cs="Times New Roman"/>
                <w:sz w:val="24"/>
                <w:szCs w:val="24"/>
              </w:rPr>
              <w:t xml:space="preserve">. </w:t>
            </w:r>
            <w:r w:rsidRPr="00097F8B">
              <w:rPr>
                <w:rFonts w:ascii="Times New Roman" w:hAnsi="Times New Roman" w:cs="Times New Roman"/>
                <w:sz w:val="24"/>
                <w:szCs w:val="24"/>
              </w:rPr>
              <w:t>În acest context, Curtea observă că absența unui proces-verbal de arestare trebuie considerată în sine o deficiență extrem de gravă, întrucât Curtea a statuat în mod constant că detenția neînregistrată a unei persoane reprezintă o negare totală a garanțiilor fundamentale conținute în articolul 5 § 1 al Convenției și dezvăluie o încălcare de o gravitate deosebită a acestei dispoziții. Lipsa unei evidențe privind elemente precum data, ora și locul reținerii, numele persoanei reținute, motivele detenției și numele persoanei care a efectuat măsura trebuie considerată incompatibilă cu cerința legalității și cu scopul însuși al articolului 5 § 1 al Convenției</w:t>
            </w:r>
            <w:r w:rsidR="00C5369D">
              <w:rPr>
                <w:rFonts w:ascii="Times New Roman" w:hAnsi="Times New Roman" w:cs="Times New Roman"/>
                <w:sz w:val="24"/>
                <w:szCs w:val="24"/>
              </w:rPr>
              <w:t xml:space="preserve">. </w:t>
            </w:r>
            <w:r w:rsidRPr="00097F8B">
              <w:rPr>
                <w:rFonts w:ascii="Times New Roman" w:hAnsi="Times New Roman" w:cs="Times New Roman"/>
                <w:sz w:val="24"/>
                <w:szCs w:val="24"/>
              </w:rPr>
              <w:t xml:space="preserve">Curtea nu poate accepta argumentul Guvernului potrivit căruia urgența situației a </w:t>
            </w:r>
            <w:r w:rsidRPr="00097F8B">
              <w:rPr>
                <w:rFonts w:ascii="Times New Roman" w:hAnsi="Times New Roman" w:cs="Times New Roman"/>
                <w:sz w:val="24"/>
                <w:szCs w:val="24"/>
              </w:rPr>
              <w:lastRenderedPageBreak/>
              <w:t>împiedicat poliția să înregistreze în mod corespunzător arestarea și detenția reclamantului și concluzionează că privarea sa de libertate nu a respectat garanțiile articolului 5 § 1 al Convenției</w:t>
            </w:r>
            <w:r w:rsidRPr="00031651">
              <w:rPr>
                <w:rFonts w:ascii="Times New Roman" w:hAnsi="Times New Roman" w:cs="Times New Roman"/>
                <w:i/>
                <w:iCs/>
                <w:sz w:val="24"/>
                <w:szCs w:val="24"/>
              </w:rPr>
              <w:t>.</w:t>
            </w:r>
          </w:p>
          <w:p w14:paraId="7AA00058" w14:textId="5456251D" w:rsidR="003C2655" w:rsidRPr="003C2655" w:rsidRDefault="003C2655" w:rsidP="003C26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2655">
              <w:rPr>
                <w:rFonts w:ascii="Times New Roman" w:hAnsi="Times New Roman" w:cs="Times New Roman"/>
                <w:b/>
                <w:bCs/>
                <w:sz w:val="24"/>
                <w:szCs w:val="24"/>
              </w:rPr>
              <w:t>41</w:t>
            </w:r>
            <w:r w:rsidRPr="003C2655">
              <w:rPr>
                <w:rFonts w:ascii="Times New Roman" w:hAnsi="Times New Roman" w:cs="Times New Roman"/>
                <w:sz w:val="24"/>
                <w:szCs w:val="24"/>
              </w:rPr>
              <w:t>. În ceea ce privește articolul 5 § 2 din Convenție, Curtea reiterează că această dispoziție conține garanția elementară potrivit căreia orice persoană arestată trebuie să știe de ce este lipsită de libertate și constituie parte integrantă a sistemului de protecție oferit de articolul 5</w:t>
            </w:r>
            <w:r w:rsidR="00C5369D">
              <w:rPr>
                <w:rFonts w:ascii="Times New Roman" w:hAnsi="Times New Roman" w:cs="Times New Roman"/>
                <w:sz w:val="24"/>
                <w:szCs w:val="24"/>
              </w:rPr>
              <w:t xml:space="preserve">. </w:t>
            </w:r>
            <w:r w:rsidRPr="003C2655">
              <w:rPr>
                <w:rFonts w:ascii="Times New Roman" w:hAnsi="Times New Roman" w:cs="Times New Roman"/>
                <w:sz w:val="24"/>
                <w:szCs w:val="24"/>
              </w:rPr>
              <w:t>Atunci când o persoană a fost informată cu privire la motivele arestării sau detenției sale, ea poate, dacă consideră necesar, să sesizeze o instanță pentru a contesta legalitatea detenției</w:t>
            </w:r>
            <w:r w:rsidR="00C5369D">
              <w:rPr>
                <w:rFonts w:ascii="Times New Roman" w:hAnsi="Times New Roman" w:cs="Times New Roman"/>
                <w:sz w:val="24"/>
                <w:szCs w:val="24"/>
              </w:rPr>
              <w:t xml:space="preserve">. </w:t>
            </w:r>
            <w:r w:rsidRPr="003C2655">
              <w:rPr>
                <w:rFonts w:ascii="Times New Roman" w:hAnsi="Times New Roman" w:cs="Times New Roman"/>
                <w:sz w:val="24"/>
                <w:szCs w:val="24"/>
              </w:rPr>
              <w:t>Orice persoană îndreptățită să inițieze proceduri pentru ca legalitatea detenției sale să fie decisă rapid nu poate face uz efectiv de acest drept decât dacă este informată prompt și în mod adecvat cu privire la motivele pentru care a fost lipsită de libertate. În ceea ce privește prezenta cauză, Curtea observă că reclamantul nu a fost informat cu privire la motivele arestării sale, cu încălcarea cerințelor articolului 5 § 2 din Convenție.</w:t>
            </w:r>
          </w:p>
          <w:p w14:paraId="3CC18C0B" w14:textId="1FB8E79D" w:rsidR="003C2655" w:rsidRPr="003C2655" w:rsidRDefault="003C2655" w:rsidP="003C265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2655">
              <w:rPr>
                <w:rFonts w:ascii="Times New Roman" w:hAnsi="Times New Roman" w:cs="Times New Roman"/>
                <w:b/>
                <w:bCs/>
                <w:sz w:val="24"/>
                <w:szCs w:val="24"/>
              </w:rPr>
              <w:t>42</w:t>
            </w:r>
            <w:r w:rsidRPr="003C2655">
              <w:rPr>
                <w:rFonts w:ascii="Times New Roman" w:hAnsi="Times New Roman" w:cs="Times New Roman"/>
                <w:sz w:val="24"/>
                <w:szCs w:val="24"/>
              </w:rPr>
              <w:t>. Articolul 5 § 3 din Convenție oferă, de asemenea, persoanelor arestate sau deținute sub suspiciunea comiterii unei infracțiuni o garanție împotriva oricărei privări arbitrare sau nejustificate de libertate. Controlul judiciar asupra ingerințelor executivului în dreptul individului la libertate reprezintă un element esențial al garanției prevăzute la articolul 5 § 3. În prezenta cauză, reclamantului i s-a refuzat în mod evident posibilitatea de a fi adus în fața unei instanțe pentru a contesta legalitatea detenției sale.</w:t>
            </w:r>
          </w:p>
          <w:p w14:paraId="393B3E04" w14:textId="50118447" w:rsidR="003C2655" w:rsidRPr="00031651" w:rsidRDefault="003C2655"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C2655">
              <w:rPr>
                <w:rFonts w:ascii="Times New Roman" w:hAnsi="Times New Roman" w:cs="Times New Roman"/>
                <w:b/>
                <w:bCs/>
                <w:sz w:val="24"/>
                <w:szCs w:val="24"/>
              </w:rPr>
              <w:t>43</w:t>
            </w:r>
            <w:r w:rsidRPr="003C2655">
              <w:rPr>
                <w:rFonts w:ascii="Times New Roman" w:hAnsi="Times New Roman" w:cs="Times New Roman"/>
                <w:sz w:val="24"/>
                <w:szCs w:val="24"/>
              </w:rPr>
              <w:t xml:space="preserve">. În cele din urmă, Curtea reamintește că articolul 5 § 4 din Convenție prevede că persoanele arestate sau deținute au dreptul la un control jurisdicțional asupra condițiilor procedurale și materiale esențiale care determină „legalitatea”, în sensul Convenției, a privării lor de libertate. În situațiile în care nu există nicio cale de atac disponibilă în fața instanțelor pentru a contesta legalitatea detenției, examinarea unei plângeri în temeiul articolului 5 § 4 a fost considerată justificată, indiferent de durata detenției în cauză. Ținând cont de aceasta și având în vedere faptul că în prezenta </w:t>
            </w:r>
            <w:r w:rsidRPr="003C2655">
              <w:rPr>
                <w:rFonts w:ascii="Times New Roman" w:hAnsi="Times New Roman" w:cs="Times New Roman"/>
                <w:sz w:val="24"/>
                <w:szCs w:val="24"/>
              </w:rPr>
              <w:lastRenderedPageBreak/>
              <w:t>cauză reclamantului nu i s-a oferit nicio posibilitate de a solicita un control judiciar al detenției, Curtea consideră că articolul 5 § 4 din Convenție nu doar că este aplicabil, ci și că cerințele sale nu au fost respectate.</w:t>
            </w:r>
          </w:p>
        </w:tc>
        <w:tc>
          <w:tcPr>
            <w:tcW w:w="2693" w:type="dxa"/>
          </w:tcPr>
          <w:p w14:paraId="641872CD" w14:textId="77777777" w:rsidR="009E4369" w:rsidRPr="00031651" w:rsidRDefault="005F056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w:t>
            </w:r>
          </w:p>
          <w:p w14:paraId="602F7D20" w14:textId="46C2428D" w:rsidR="005F0565" w:rsidRPr="00031651" w:rsidRDefault="00DB0CA0"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6</w:t>
            </w:r>
            <w:r w:rsidR="005F0565" w:rsidRPr="00031651">
              <w:rPr>
                <w:rFonts w:ascii="Times New Roman" w:hAnsi="Times New Roman" w:cs="Times New Roman"/>
                <w:sz w:val="24"/>
                <w:szCs w:val="24"/>
                <w:lang w:val="ro-RO"/>
              </w:rPr>
              <w:t>000 EUR</w:t>
            </w:r>
          </w:p>
          <w:p w14:paraId="0B99746E" w14:textId="77777777" w:rsidR="005F0565" w:rsidRPr="00031651" w:rsidRDefault="005F056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(prejudicu moral)</w:t>
            </w:r>
          </w:p>
          <w:p w14:paraId="3A6D5165" w14:textId="77777777" w:rsidR="005F0565" w:rsidRPr="00031651" w:rsidRDefault="005F0565"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14CCB885" w14:textId="61C5982C" w:rsidR="005F0565" w:rsidRPr="00031651" w:rsidRDefault="00DB0CA0" w:rsidP="005F05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1726</w:t>
            </w:r>
            <w:r w:rsidR="005F0565" w:rsidRPr="00031651">
              <w:rPr>
                <w:rFonts w:ascii="Times New Roman" w:hAnsi="Times New Roman" w:cs="Times New Roman"/>
                <w:sz w:val="24"/>
                <w:szCs w:val="24"/>
                <w:lang w:val="ro-RO"/>
              </w:rPr>
              <w:t xml:space="preserve"> EUR</w:t>
            </w:r>
          </w:p>
          <w:p w14:paraId="30C6E690" w14:textId="79DDA473" w:rsidR="005F0565" w:rsidRPr="00031651" w:rsidRDefault="005F0565" w:rsidP="005F056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(costuri și cheltuieli)</w:t>
            </w:r>
          </w:p>
        </w:tc>
      </w:tr>
      <w:tr w:rsidR="009E4369" w:rsidRPr="00031651" w14:paraId="04504588"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38ED7D77" w14:textId="77777777" w:rsidR="009E4369" w:rsidRPr="00031651" w:rsidRDefault="00933896"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lastRenderedPageBreak/>
              <w:t>14</w:t>
            </w:r>
          </w:p>
          <w:p w14:paraId="71682A29" w14:textId="77777777" w:rsidR="00D63795" w:rsidRPr="00031651" w:rsidRDefault="00061F5E"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t>+</w:t>
            </w:r>
          </w:p>
          <w:p w14:paraId="78B9D677" w14:textId="44266812" w:rsidR="00061F5E" w:rsidRPr="00031651" w:rsidRDefault="00061F5E"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t>8</w:t>
            </w:r>
          </w:p>
        </w:tc>
        <w:tc>
          <w:tcPr>
            <w:tcW w:w="1525" w:type="dxa"/>
          </w:tcPr>
          <w:p w14:paraId="0C658786" w14:textId="1D2F0870" w:rsidR="009E4369" w:rsidRPr="00031651" w:rsidRDefault="0028364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Defăimare</w:t>
            </w:r>
          </w:p>
        </w:tc>
        <w:tc>
          <w:tcPr>
            <w:tcW w:w="1633" w:type="dxa"/>
          </w:tcPr>
          <w:p w14:paraId="5630BC39" w14:textId="58FE6884" w:rsidR="009A281F" w:rsidRDefault="009A281F" w:rsidP="009A28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24729/17</w:t>
            </w:r>
          </w:p>
          <w:p w14:paraId="16E6A0B9" w14:textId="7E7EBBA8" w:rsidR="009A281F" w:rsidRDefault="009A281F" w:rsidP="00DF50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09/09/2025</w:t>
            </w:r>
          </w:p>
          <w:p w14:paraId="296BCFF3" w14:textId="6CBC827B" w:rsidR="00A64A92" w:rsidRPr="00031651" w:rsidRDefault="00A64A92" w:rsidP="00DF503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Ilareva și alții contra Bulgariei</w:t>
            </w:r>
          </w:p>
          <w:p w14:paraId="2E0CCF8F"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3C837D69" w14:textId="09E3D6AD" w:rsidR="009E4369" w:rsidRPr="00031651" w:rsidRDefault="0028364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140, 141, 142, </w:t>
            </w:r>
            <w:r w:rsidR="00DF5032">
              <w:rPr>
                <w:rFonts w:ascii="Times New Roman" w:hAnsi="Times New Roman" w:cs="Times New Roman"/>
                <w:sz w:val="24"/>
                <w:szCs w:val="24"/>
                <w:lang w:val="ro-RO"/>
              </w:rPr>
              <w:t xml:space="preserve">143, 145, </w:t>
            </w:r>
          </w:p>
        </w:tc>
        <w:tc>
          <w:tcPr>
            <w:tcW w:w="1559" w:type="dxa"/>
          </w:tcPr>
          <w:p w14:paraId="1B6F0488" w14:textId="5E149A1A" w:rsidR="009E4369" w:rsidRPr="00031651" w:rsidRDefault="00547C84" w:rsidP="00A722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Comentarii</w:t>
            </w:r>
            <w:r w:rsidR="005A7597" w:rsidRPr="00031651">
              <w:rPr>
                <w:rFonts w:ascii="Times New Roman" w:hAnsi="Times New Roman" w:cs="Times New Roman"/>
                <w:sz w:val="24"/>
                <w:szCs w:val="24"/>
                <w:lang w:val="ro-RO"/>
              </w:rPr>
              <w:t xml:space="preserve"> discriminatorii, </w:t>
            </w:r>
            <w:r w:rsidR="00C20FC2" w:rsidRPr="00031651">
              <w:rPr>
                <w:rFonts w:ascii="Times New Roman" w:hAnsi="Times New Roman" w:cs="Times New Roman"/>
                <w:sz w:val="24"/>
                <w:szCs w:val="24"/>
                <w:lang w:val="ro-RO"/>
              </w:rPr>
              <w:t>protecția refugiaților</w:t>
            </w:r>
            <w:r w:rsidR="003868B9" w:rsidRPr="00031651">
              <w:rPr>
                <w:rFonts w:ascii="Times New Roman" w:hAnsi="Times New Roman" w:cs="Times New Roman"/>
                <w:sz w:val="24"/>
                <w:szCs w:val="24"/>
                <w:lang w:val="ro-RO"/>
              </w:rPr>
              <w:t>, profil</w:t>
            </w:r>
            <w:r w:rsidRPr="00031651">
              <w:rPr>
                <w:rFonts w:ascii="Times New Roman" w:hAnsi="Times New Roman" w:cs="Times New Roman"/>
                <w:sz w:val="24"/>
                <w:szCs w:val="24"/>
                <w:lang w:val="ro-RO"/>
              </w:rPr>
              <w:t xml:space="preserve"> facebook</w:t>
            </w:r>
          </w:p>
        </w:tc>
        <w:tc>
          <w:tcPr>
            <w:tcW w:w="6804" w:type="dxa"/>
          </w:tcPr>
          <w:p w14:paraId="6F8C7544" w14:textId="3E526E33" w:rsidR="004F7EF2" w:rsidRPr="004F7EF2" w:rsidRDefault="004F7EF2" w:rsidP="004F7E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EF2">
              <w:rPr>
                <w:rFonts w:ascii="Times New Roman" w:hAnsi="Times New Roman" w:cs="Times New Roman"/>
                <w:b/>
                <w:bCs/>
                <w:sz w:val="24"/>
                <w:szCs w:val="24"/>
              </w:rPr>
              <w:t>140</w:t>
            </w:r>
            <w:r w:rsidRPr="004F7EF2">
              <w:rPr>
                <w:rFonts w:ascii="Times New Roman" w:hAnsi="Times New Roman" w:cs="Times New Roman"/>
                <w:sz w:val="24"/>
                <w:szCs w:val="24"/>
              </w:rPr>
              <w:t>. Curtea observă că discursuri grave de ură au fost exprimate în postări pe rețelele de socializare, iar aceste postări au fost distribuite rapid și repetat, ajungând la cunoștința reclamanților. Declarațiile au fost explicite și violente, reclamanții au fost clar identificați și expuși public, iar adresele lor de muncă puteau fi ușor identificate. Natura limbajului folosit și ura exprimată în acele postări nu poate fi asimilată unei simple exprimări, chiar exacerbate, a unei opinii negative față de reclamanți. Anonimatul autorilor, facilitat de formularea amenințărilor online, era, dimpotrivă, susceptibil de a intensifica orice sentiment de teamă provocat de astfel de declarații. Curtea consideră că, având în vedere rolul esențial al internetului ca platformă fără precedent de schimb de idei și informații, care comportă riscul de prejudicii aduse exercitării și beneficiului drepturilor omului, obligațiile statelor în materie de protecție a drepturilor fundamentale se aplică în aceeași măsură în mediul online ca și în cel offline. În consecință, situația de față a generat un interes public al urmăririi penale, care impunea un răspuns oficial adecvat.</w:t>
            </w:r>
          </w:p>
          <w:p w14:paraId="74459B8B" w14:textId="54321460" w:rsidR="004F7EF2" w:rsidRPr="004F7EF2" w:rsidRDefault="004F7EF2" w:rsidP="004F7E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EF2">
              <w:rPr>
                <w:rFonts w:ascii="Times New Roman" w:hAnsi="Times New Roman" w:cs="Times New Roman"/>
                <w:b/>
                <w:bCs/>
                <w:sz w:val="24"/>
                <w:szCs w:val="24"/>
              </w:rPr>
              <w:t>141</w:t>
            </w:r>
            <w:r w:rsidRPr="004F7EF2">
              <w:rPr>
                <w:rFonts w:ascii="Times New Roman" w:hAnsi="Times New Roman" w:cs="Times New Roman"/>
                <w:sz w:val="24"/>
                <w:szCs w:val="24"/>
              </w:rPr>
              <w:t>. Curtea nu pierde din vedere nici contextul general în care s-au desfășurat evenimentele, respectiv tensiuni sociale accentuate însoțite de manifestări publice recurente de discurs al urii și intoleranță față de grupuri de persoane asociate activităților profesionale ale reclamanțilo</w:t>
            </w:r>
            <w:r w:rsidR="00283648">
              <w:rPr>
                <w:rFonts w:ascii="Times New Roman" w:hAnsi="Times New Roman" w:cs="Times New Roman"/>
                <w:sz w:val="24"/>
                <w:szCs w:val="24"/>
              </w:rPr>
              <w:t>r</w:t>
            </w:r>
            <w:r w:rsidRPr="004F7EF2">
              <w:rPr>
                <w:rFonts w:ascii="Times New Roman" w:hAnsi="Times New Roman" w:cs="Times New Roman"/>
                <w:sz w:val="24"/>
                <w:szCs w:val="24"/>
              </w:rPr>
              <w:t xml:space="preserve">. Cu toate acestea, procurorii au minimalizat gravitatea faptelor. Curtea observă că, deși incidentul nu a făcut parte din plângerea specifică a reclamanților în prezenta cauză, cel de-al treilea reclamant a fost agresat fizic pe stradă ulterior comentariilor de pe Facebook și la scurt timp după ce vorbise la televiziune împotriva discursului anti-imigranți. Din păcate, în investigația privind plângerile formulate în prezenta cauză, autoritățile nu au abordat prejudecățile aflate la originea </w:t>
            </w:r>
            <w:r w:rsidRPr="004F7EF2">
              <w:rPr>
                <w:rFonts w:ascii="Times New Roman" w:hAnsi="Times New Roman" w:cs="Times New Roman"/>
                <w:sz w:val="24"/>
                <w:szCs w:val="24"/>
              </w:rPr>
              <w:lastRenderedPageBreak/>
              <w:t>amenințărilor, în măsura în care acestea se raportau la reclamanți, în pofida faptului că, prin activitatea lor profesională, aceștia erau asociați cu grupurile de persoane ale căror drepturi le apără. Această omisiune ridică, în sine, o problemă cu privire la adecvarea și eficiența investigației.</w:t>
            </w:r>
          </w:p>
          <w:p w14:paraId="4D057289" w14:textId="192C345E" w:rsidR="004F7EF2" w:rsidRPr="004F7EF2" w:rsidRDefault="004F7EF2" w:rsidP="004F7E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EF2">
              <w:rPr>
                <w:rFonts w:ascii="Times New Roman" w:hAnsi="Times New Roman" w:cs="Times New Roman"/>
                <w:b/>
                <w:bCs/>
                <w:sz w:val="24"/>
                <w:szCs w:val="24"/>
              </w:rPr>
              <w:t>142</w:t>
            </w:r>
            <w:r w:rsidRPr="004F7EF2">
              <w:rPr>
                <w:rFonts w:ascii="Times New Roman" w:hAnsi="Times New Roman" w:cs="Times New Roman"/>
                <w:sz w:val="24"/>
                <w:szCs w:val="24"/>
              </w:rPr>
              <w:t>. În cele din urmă, în ceea ce privește pistele evidente de anchetă în afara cadrului normativ menționat, autoritățile nu au depus eforturi serioase pentru a obține informații distincte de datele de trafic digital legate de postările în cauză (a se vedea, pentru definiția datelor de trafic digital, paragraful 81 de mai sus). Guvernul însuși a prezentat un exemplu din jurisprudența națională anterioară în care autoritățile stabiliseră autorul unei infracțiuni prevăzute de articolul 162 § 1 din Codul penal. De asemenea, Guvernul a subliniat existența unor metode diferite ce ar fi putut fi utilizate pentru identificarea autorilor unor publicări online, însă autoritățile nu au recurs la niciuna dintre acestea.</w:t>
            </w:r>
          </w:p>
          <w:p w14:paraId="6507CE87" w14:textId="77777777" w:rsidR="004F7EF2" w:rsidRPr="004F7EF2" w:rsidRDefault="004F7EF2" w:rsidP="004F7EF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7EF2">
              <w:rPr>
                <w:rFonts w:ascii="Times New Roman" w:hAnsi="Times New Roman" w:cs="Times New Roman"/>
                <w:b/>
                <w:bCs/>
                <w:sz w:val="24"/>
                <w:szCs w:val="24"/>
              </w:rPr>
              <w:t>143</w:t>
            </w:r>
            <w:r w:rsidRPr="004F7EF2">
              <w:rPr>
                <w:rFonts w:ascii="Times New Roman" w:hAnsi="Times New Roman" w:cs="Times New Roman"/>
                <w:sz w:val="24"/>
                <w:szCs w:val="24"/>
              </w:rPr>
              <w:t>. În ceea ce privește majoritatea persoanelor de interes care nu au fost identificate, autoritățile ar fi putut solicita de la Facebook informațiile furnizate de deținătorii conturilor respective la momentul creării acestora – informații ce ar fi putut include date cu caracter personal (nume, adrese, profesie), adrese de e-mail și/sau numere de telefon – și ar fi putut continua ancheta urmărind orice astfel de piste.</w:t>
            </w:r>
          </w:p>
          <w:p w14:paraId="0D0D91A7" w14:textId="209B4633" w:rsidR="009E4369" w:rsidRPr="00031651" w:rsidRDefault="00A43C41"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69D">
              <w:rPr>
                <w:rFonts w:ascii="Times New Roman" w:hAnsi="Times New Roman" w:cs="Times New Roman"/>
                <w:b/>
                <w:bCs/>
                <w:sz w:val="24"/>
                <w:szCs w:val="24"/>
              </w:rPr>
              <w:t>145</w:t>
            </w:r>
            <w:r w:rsidRPr="00031651">
              <w:rPr>
                <w:rFonts w:ascii="Times New Roman" w:hAnsi="Times New Roman" w:cs="Times New Roman"/>
                <w:sz w:val="24"/>
                <w:szCs w:val="24"/>
              </w:rPr>
              <w:t>. Efectul cumulativ a fost acela că amenințările, instigarea la violență și discursul de ură, motivate de intoleranță și prejudecată și îndreptate împotriva reclamanților din cauza asocierii lor, prin activitățile profesionale, cu grupurile de persoane ale căror drepturi le apărau, au rămas practic fără consecințe juridice, iar reclamanților nu li s-a oferit protecția necesară a dreptului lor la integritate personală.</w:t>
            </w:r>
          </w:p>
        </w:tc>
        <w:tc>
          <w:tcPr>
            <w:tcW w:w="2693" w:type="dxa"/>
          </w:tcPr>
          <w:p w14:paraId="1C1306BB" w14:textId="77777777" w:rsidR="009E4369" w:rsidRDefault="002615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lastRenderedPageBreak/>
              <w:t>Violare art. 14+8</w:t>
            </w:r>
          </w:p>
          <w:p w14:paraId="76BA8ED0" w14:textId="77777777" w:rsidR="002615BF" w:rsidRDefault="002615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2843F817" w14:textId="77777777" w:rsidR="002615BF" w:rsidRDefault="002615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4500 EUR </w:t>
            </w:r>
          </w:p>
          <w:p w14:paraId="45810A8F" w14:textId="77777777" w:rsidR="002615BF" w:rsidRDefault="002615BF"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w:t>
            </w:r>
            <w:r w:rsidR="004D11E6">
              <w:rPr>
                <w:rFonts w:ascii="Times New Roman" w:hAnsi="Times New Roman" w:cs="Times New Roman"/>
                <w:sz w:val="24"/>
                <w:szCs w:val="24"/>
                <w:lang w:val="ro-RO"/>
              </w:rPr>
              <w:t>prejudiciu moral</w:t>
            </w:r>
            <w:r>
              <w:rPr>
                <w:rFonts w:ascii="Times New Roman" w:hAnsi="Times New Roman" w:cs="Times New Roman"/>
                <w:sz w:val="24"/>
                <w:szCs w:val="24"/>
                <w:lang w:val="ro-RO"/>
              </w:rPr>
              <w:t>)</w:t>
            </w:r>
          </w:p>
          <w:p w14:paraId="0A9AB50E" w14:textId="77777777" w:rsidR="004D11E6" w:rsidRDefault="004D11E6"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1 si 3 aplicant </w:t>
            </w:r>
          </w:p>
          <w:p w14:paraId="5BAC682F" w14:textId="77777777" w:rsidR="002A1CEE"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17C7A48" w14:textId="77777777" w:rsidR="002A1CEE"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5500 EUR</w:t>
            </w:r>
          </w:p>
          <w:p w14:paraId="47E80E8E" w14:textId="77777777" w:rsidR="002A1CEE"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(prejudiciu moral)</w:t>
            </w:r>
          </w:p>
          <w:p w14:paraId="236A6385" w14:textId="77777777" w:rsidR="002A1CEE"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2 aplicant</w:t>
            </w:r>
          </w:p>
          <w:p w14:paraId="090B2190" w14:textId="77777777" w:rsidR="002A1CEE"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0E960257" w14:textId="77777777" w:rsidR="002A1CEE"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2521,77 EUR </w:t>
            </w:r>
          </w:p>
          <w:p w14:paraId="5C9968A4" w14:textId="524D8156" w:rsidR="002A1CEE" w:rsidRPr="00031651" w:rsidRDefault="002A1CE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w:t>
            </w:r>
            <w:r w:rsidR="009A281F">
              <w:rPr>
                <w:rFonts w:ascii="Times New Roman" w:hAnsi="Times New Roman" w:cs="Times New Roman"/>
                <w:sz w:val="24"/>
                <w:szCs w:val="24"/>
                <w:lang w:val="ro-RO"/>
              </w:rPr>
              <w:t>costuri și cheltuieli</w:t>
            </w:r>
            <w:r>
              <w:rPr>
                <w:rFonts w:ascii="Times New Roman" w:hAnsi="Times New Roman" w:cs="Times New Roman"/>
                <w:sz w:val="24"/>
                <w:szCs w:val="24"/>
                <w:lang w:val="ro-RO"/>
              </w:rPr>
              <w:t>)</w:t>
            </w:r>
          </w:p>
        </w:tc>
      </w:tr>
      <w:tr w:rsidR="009E4369" w:rsidRPr="00031651" w14:paraId="3E511385"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638F57E2" w14:textId="77777777" w:rsidR="009E4369" w:rsidRPr="00031651" w:rsidRDefault="00933896"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t>7</w:t>
            </w:r>
          </w:p>
          <w:p w14:paraId="55677A9E" w14:textId="7C8E2C02" w:rsidR="00844C0C" w:rsidRPr="00031651" w:rsidRDefault="006F0514"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rPr>
              <w:t>6 § 1</w:t>
            </w:r>
          </w:p>
        </w:tc>
        <w:tc>
          <w:tcPr>
            <w:tcW w:w="1525" w:type="dxa"/>
          </w:tcPr>
          <w:p w14:paraId="7DD7EF0A" w14:textId="12FCC626" w:rsidR="009E4369" w:rsidRPr="00031651" w:rsidRDefault="0025132A"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Tribunal independent și imparțial </w:t>
            </w:r>
          </w:p>
        </w:tc>
        <w:tc>
          <w:tcPr>
            <w:tcW w:w="1633" w:type="dxa"/>
          </w:tcPr>
          <w:p w14:paraId="66C2E559" w14:textId="77777777" w:rsidR="00440910" w:rsidRPr="00031651" w:rsidRDefault="00344791" w:rsidP="00E16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1595/20</w:t>
            </w:r>
            <w:r w:rsidR="00440910" w:rsidRPr="00031651">
              <w:rPr>
                <w:rFonts w:ascii="Times New Roman" w:hAnsi="Times New Roman" w:cs="Times New Roman"/>
                <w:sz w:val="24"/>
                <w:szCs w:val="24"/>
                <w:lang w:val="ro-RO"/>
              </w:rPr>
              <w:t xml:space="preserve"> și alții 238</w:t>
            </w:r>
          </w:p>
          <w:p w14:paraId="10AD3E8D" w14:textId="16EA66F7" w:rsidR="00344791" w:rsidRPr="00031651" w:rsidRDefault="00440910" w:rsidP="00E16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03/11/2025</w:t>
            </w:r>
          </w:p>
          <w:p w14:paraId="064CB324" w14:textId="397CDC23" w:rsidR="00A64A92" w:rsidRPr="00031651" w:rsidRDefault="00A64A92" w:rsidP="00E16417">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Demirhan și </w:t>
            </w:r>
            <w:r w:rsidRPr="00031651">
              <w:rPr>
                <w:rFonts w:ascii="Times New Roman" w:hAnsi="Times New Roman" w:cs="Times New Roman"/>
                <w:sz w:val="24"/>
                <w:szCs w:val="24"/>
                <w:lang w:val="ro-RO"/>
              </w:rPr>
              <w:lastRenderedPageBreak/>
              <w:t>alții contra Turciei</w:t>
            </w:r>
          </w:p>
          <w:p w14:paraId="5FFA4532" w14:textId="77777777" w:rsidR="009E4369" w:rsidRPr="00031651" w:rsidRDefault="009E4369" w:rsidP="00A64A9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1F3D8507" w14:textId="564A1551" w:rsidR="009E4369" w:rsidRPr="00031651" w:rsidRDefault="00D60338"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lastRenderedPageBreak/>
              <w:t>37, 39</w:t>
            </w:r>
          </w:p>
        </w:tc>
        <w:tc>
          <w:tcPr>
            <w:tcW w:w="1559" w:type="dxa"/>
          </w:tcPr>
          <w:p w14:paraId="16252CAC" w14:textId="66DCDC61" w:rsidR="009E4369" w:rsidRPr="00031651" w:rsidRDefault="007D3CA6" w:rsidP="009E436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Organizație teroristă, </w:t>
            </w:r>
            <w:r w:rsidR="00B76B73" w:rsidRPr="00031651">
              <w:rPr>
                <w:rFonts w:ascii="Times New Roman" w:hAnsi="Times New Roman" w:cs="Times New Roman"/>
                <w:sz w:val="24"/>
                <w:szCs w:val="24"/>
                <w:lang w:val="ro-RO"/>
              </w:rPr>
              <w:t>lovitură de stat</w:t>
            </w:r>
            <w:r w:rsidR="000C7AB7" w:rsidRPr="00031651">
              <w:rPr>
                <w:rFonts w:ascii="Times New Roman" w:hAnsi="Times New Roman" w:cs="Times New Roman"/>
                <w:sz w:val="24"/>
                <w:szCs w:val="24"/>
                <w:lang w:val="ro-RO"/>
              </w:rPr>
              <w:t xml:space="preserve">, </w:t>
            </w:r>
            <w:r w:rsidR="000C7AB7" w:rsidRPr="00031651">
              <w:rPr>
                <w:rFonts w:ascii="Times New Roman" w:hAnsi="Times New Roman" w:cs="Times New Roman"/>
                <w:sz w:val="24"/>
                <w:szCs w:val="24"/>
                <w:lang w:val="ro-RO"/>
              </w:rPr>
              <w:lastRenderedPageBreak/>
              <w:t xml:space="preserve">bombardare, </w:t>
            </w:r>
            <w:r w:rsidR="00ED7045" w:rsidRPr="00031651">
              <w:rPr>
                <w:rFonts w:ascii="Times New Roman" w:hAnsi="Times New Roman" w:cs="Times New Roman"/>
                <w:sz w:val="24"/>
                <w:szCs w:val="24"/>
                <w:lang w:val="ro-RO"/>
              </w:rPr>
              <w:t>stare de urgență</w:t>
            </w:r>
            <w:r w:rsidR="0041705C" w:rsidRPr="00031651">
              <w:rPr>
                <w:rFonts w:ascii="Times New Roman" w:hAnsi="Times New Roman" w:cs="Times New Roman"/>
                <w:sz w:val="24"/>
                <w:szCs w:val="24"/>
                <w:lang w:val="ro-RO"/>
              </w:rPr>
              <w:t>, By</w:t>
            </w:r>
            <w:r w:rsidR="00D86932" w:rsidRPr="00031651">
              <w:rPr>
                <w:rFonts w:ascii="Times New Roman" w:hAnsi="Times New Roman" w:cs="Times New Roman"/>
                <w:sz w:val="24"/>
                <w:szCs w:val="24"/>
                <w:lang w:val="ro-RO"/>
              </w:rPr>
              <w:t xml:space="preserve">Lock, </w:t>
            </w:r>
          </w:p>
        </w:tc>
        <w:tc>
          <w:tcPr>
            <w:tcW w:w="6804" w:type="dxa"/>
          </w:tcPr>
          <w:p w14:paraId="7EE5A719" w14:textId="0F9EA123" w:rsidR="009E4369" w:rsidRPr="00031651" w:rsidRDefault="00FC10A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69D">
              <w:rPr>
                <w:rFonts w:ascii="Times New Roman" w:hAnsi="Times New Roman" w:cs="Times New Roman"/>
                <w:b/>
                <w:bCs/>
                <w:sz w:val="24"/>
                <w:szCs w:val="24"/>
              </w:rPr>
              <w:lastRenderedPageBreak/>
              <w:t>37</w:t>
            </w:r>
            <w:r w:rsidRPr="00031651">
              <w:rPr>
                <w:rFonts w:ascii="Times New Roman" w:hAnsi="Times New Roman" w:cs="Times New Roman"/>
                <w:sz w:val="24"/>
                <w:szCs w:val="24"/>
              </w:rPr>
              <w:t xml:space="preserve">. </w:t>
            </w:r>
            <w:r w:rsidR="00B31B11" w:rsidRPr="00031651">
              <w:rPr>
                <w:rFonts w:ascii="Times New Roman" w:hAnsi="Times New Roman" w:cs="Times New Roman"/>
                <w:sz w:val="24"/>
                <w:szCs w:val="24"/>
              </w:rPr>
              <w:t xml:space="preserve">„Curtea observă în acest context că constatarea încălcărilor articolelor 7 și 6 § 1 din Convenție în cauza </w:t>
            </w:r>
            <w:r w:rsidR="00B31B11" w:rsidRPr="00031651">
              <w:rPr>
                <w:rFonts w:ascii="Times New Roman" w:hAnsi="Times New Roman" w:cs="Times New Roman"/>
                <w:i/>
                <w:iCs/>
                <w:sz w:val="24"/>
                <w:szCs w:val="24"/>
              </w:rPr>
              <w:t>Yüksel Yalçınkaya</w:t>
            </w:r>
            <w:r w:rsidR="00B31B11" w:rsidRPr="00031651">
              <w:rPr>
                <w:rFonts w:ascii="Times New Roman" w:hAnsi="Times New Roman" w:cs="Times New Roman"/>
                <w:sz w:val="24"/>
                <w:szCs w:val="24"/>
              </w:rPr>
              <w:t xml:space="preserve"> (citată anterior) a rezultat, în special, din modalitatea de calificare de către instanțele naționale a utilizării aplicației ByLock și din </w:t>
            </w:r>
            <w:r w:rsidR="00B31B11" w:rsidRPr="00031651">
              <w:rPr>
                <w:rFonts w:ascii="Times New Roman" w:hAnsi="Times New Roman" w:cs="Times New Roman"/>
                <w:sz w:val="24"/>
                <w:szCs w:val="24"/>
              </w:rPr>
              <w:lastRenderedPageBreak/>
              <w:t>abordarea uniformă și globală adoptată de sistemul judiciar turc în ceea ce privește probele legate de ByLock. Potrivit acestei abordări, orice persoană a cărei utilizare a aplicației ByLock a fost constatată de instanțele naționale putea, în principiu, să fie condamnată exclusiv pe această bază pentru săvârșirea infracțiunii de apartenență la o organizație teroristă armată, în temeiul articolului 314 § 2 din Codul Penal. Aceasta deoarece toate elementele constitutive ale infracțiunii în cauză erau considerate ca fiind întrunite prin simpla utilizare a aplicației ByLock de către acuzat; interpretarea instanțelor interne avea, în practică, efectul de a echivala simpla utilizare a aplicației ByLock cu apartenența, în cunoștință de cauză și în mod voluntar, la o organizație teroristă armată .</w:t>
            </w:r>
          </w:p>
          <w:p w14:paraId="2B2F6EC5" w14:textId="376580DE" w:rsidR="00B31B11" w:rsidRPr="00031651" w:rsidRDefault="002D153B"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69D">
              <w:rPr>
                <w:rFonts w:ascii="Times New Roman" w:hAnsi="Times New Roman" w:cs="Times New Roman"/>
                <w:b/>
                <w:bCs/>
                <w:sz w:val="24"/>
                <w:szCs w:val="24"/>
              </w:rPr>
              <w:t>39</w:t>
            </w:r>
            <w:r w:rsidRPr="00031651">
              <w:rPr>
                <w:rFonts w:ascii="Times New Roman" w:hAnsi="Times New Roman" w:cs="Times New Roman"/>
                <w:sz w:val="24"/>
                <w:szCs w:val="24"/>
              </w:rPr>
              <w:t>. Curtea nu exclude posibilitatea ca în privința unora dintre reclamanți să existe alte probe care să demonstreze, singure sau în mod cumulativ, legătura lor organică cu FETÖ/PDY, în baza continuității, diversității și intensității activităților lor și a supunerii față de ierarhia acestei structuri, astfel cum este cerut în jurisprudența Curții de Casație, și care să permită, în consecință, condamnarea lor pentru acuzația formulată. Totuși, rămâne faptul – reafirmat de Guvern în observațiile sale– că simpla constatare a utilizării aplicației ByLock ar servi, în sine, drept probă concludentă a existenței tuturor elementelor constitutive ale infracțiunii de apartenență la o organizație teroristă armată, astfel cum este definită în dreptul intern, indiferent de conținutul mesajelor schimbate sau de identitatea persoanelor cu care schimburile au fost realizate, ori de existența sau inexistența altor probe în dosar. Curtea a declarat că această abordare a instanțelor naționale – care a avut efectul de a imputa utilizatorilor aplicației ByLock o răspundere obiectivă – contravine principiului legalității protejat prin articolul 7 din Convenție , și nu vede niciun motiv să ajungă la o concluzie diferită în prezenta cauză.”</w:t>
            </w:r>
          </w:p>
        </w:tc>
        <w:tc>
          <w:tcPr>
            <w:tcW w:w="2693" w:type="dxa"/>
          </w:tcPr>
          <w:p w14:paraId="3C06C2A0" w14:textId="77777777" w:rsidR="009E4369" w:rsidRPr="00031651" w:rsidRDefault="00823CF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Violare </w:t>
            </w:r>
          </w:p>
          <w:p w14:paraId="4AB1F6CF" w14:textId="77777777" w:rsidR="00815FC7" w:rsidRPr="00031651" w:rsidRDefault="00815FC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55B93C74" w14:textId="7F884D8A" w:rsidR="00815FC7" w:rsidRPr="00031651" w:rsidRDefault="006E395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rPr>
              <w:t xml:space="preserve">Având în vedere circumstanțele cauzei, </w:t>
            </w:r>
            <w:r w:rsidRPr="00031651">
              <w:rPr>
                <w:rFonts w:ascii="Times New Roman" w:hAnsi="Times New Roman" w:cs="Times New Roman"/>
                <w:sz w:val="24"/>
                <w:szCs w:val="24"/>
              </w:rPr>
              <w:lastRenderedPageBreak/>
              <w:t>concluzia la care  a ajuns în temeiul art.6 § 1</w:t>
            </w:r>
            <w:r>
              <w:rPr>
                <w:rFonts w:ascii="Times New Roman" w:hAnsi="Times New Roman" w:cs="Times New Roman"/>
                <w:sz w:val="24"/>
                <w:szCs w:val="24"/>
              </w:rPr>
              <w:t xml:space="preserve"> și 7</w:t>
            </w:r>
            <w:r w:rsidRPr="00031651">
              <w:rPr>
                <w:rFonts w:ascii="Times New Roman" w:hAnsi="Times New Roman" w:cs="Times New Roman"/>
                <w:sz w:val="24"/>
                <w:szCs w:val="24"/>
              </w:rPr>
              <w:t xml:space="preserve"> din Convenție constituie o satisfacție echitabilă suficientă pentru orice prejudiciu moral care ar fi suferit de reclaman</w:t>
            </w:r>
            <w:r>
              <w:rPr>
                <w:rFonts w:ascii="Times New Roman" w:hAnsi="Times New Roman" w:cs="Times New Roman"/>
                <w:sz w:val="24"/>
                <w:szCs w:val="24"/>
              </w:rPr>
              <w:t>ți</w:t>
            </w:r>
            <w:r w:rsidRPr="00031651">
              <w:rPr>
                <w:rFonts w:ascii="Times New Roman" w:hAnsi="Times New Roman" w:cs="Times New Roman"/>
                <w:sz w:val="24"/>
                <w:szCs w:val="24"/>
              </w:rPr>
              <w:t xml:space="preserve">. </w:t>
            </w:r>
          </w:p>
        </w:tc>
      </w:tr>
      <w:tr w:rsidR="009E4369" w:rsidRPr="00031651" w14:paraId="6EC3515C" w14:textId="77777777" w:rsidTr="00EB15C3">
        <w:tc>
          <w:tcPr>
            <w:cnfStyle w:val="001000000000" w:firstRow="0" w:lastRow="0" w:firstColumn="1" w:lastColumn="0" w:oddVBand="0" w:evenVBand="0" w:oddHBand="0" w:evenHBand="0" w:firstRowFirstColumn="0" w:firstRowLastColumn="0" w:lastRowFirstColumn="0" w:lastRowLastColumn="0"/>
            <w:tcW w:w="636" w:type="dxa"/>
          </w:tcPr>
          <w:p w14:paraId="50E1CE25" w14:textId="086C00AD" w:rsidR="009E4369" w:rsidRPr="00031651" w:rsidRDefault="00933896" w:rsidP="00B04FC2">
            <w:pPr>
              <w:jc w:val="center"/>
              <w:rPr>
                <w:rFonts w:ascii="Times New Roman" w:hAnsi="Times New Roman" w:cs="Times New Roman"/>
                <w:b w:val="0"/>
                <w:bCs w:val="0"/>
                <w:sz w:val="24"/>
                <w:szCs w:val="24"/>
                <w:lang w:val="ro-RO"/>
              </w:rPr>
            </w:pPr>
            <w:r w:rsidRPr="00031651">
              <w:rPr>
                <w:rFonts w:ascii="Times New Roman" w:hAnsi="Times New Roman" w:cs="Times New Roman"/>
                <w:b w:val="0"/>
                <w:bCs w:val="0"/>
                <w:sz w:val="24"/>
                <w:szCs w:val="24"/>
                <w:lang w:val="ro-RO"/>
              </w:rPr>
              <w:lastRenderedPageBreak/>
              <w:t>4</w:t>
            </w:r>
          </w:p>
        </w:tc>
        <w:tc>
          <w:tcPr>
            <w:tcW w:w="1525" w:type="dxa"/>
          </w:tcPr>
          <w:p w14:paraId="01AE4374" w14:textId="5725B135" w:rsidR="009E4369" w:rsidRPr="00031651" w:rsidRDefault="003579D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Obligații pozitive</w:t>
            </w:r>
          </w:p>
        </w:tc>
        <w:tc>
          <w:tcPr>
            <w:tcW w:w="1633" w:type="dxa"/>
          </w:tcPr>
          <w:p w14:paraId="5794DBEC" w14:textId="307640A3" w:rsidR="003579D9" w:rsidRPr="00031651" w:rsidRDefault="00BE6578" w:rsidP="006E39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36436/22</w:t>
            </w:r>
          </w:p>
          <w:p w14:paraId="1AA930D9" w14:textId="4DE41EE0" w:rsidR="00BE6578" w:rsidRPr="00031651" w:rsidRDefault="00BE6578" w:rsidP="006E39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27/05/2025</w:t>
            </w:r>
          </w:p>
          <w:p w14:paraId="0BDE4821" w14:textId="6EBA7E53" w:rsidR="00A64A92" w:rsidRPr="00031651" w:rsidRDefault="00A64A92" w:rsidP="006E395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I.C contra Republicii Moldova</w:t>
            </w:r>
          </w:p>
          <w:p w14:paraId="155E5CBC" w14:textId="77777777" w:rsidR="009E4369" w:rsidRPr="00031651" w:rsidRDefault="009E4369"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202" w:type="dxa"/>
          </w:tcPr>
          <w:p w14:paraId="4B7A1B26" w14:textId="77777777" w:rsidR="006E395E" w:rsidRDefault="00110CE7"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lastRenderedPageBreak/>
              <w:t>147,</w:t>
            </w:r>
            <w:r w:rsidR="006E395E">
              <w:rPr>
                <w:rFonts w:ascii="Times New Roman" w:hAnsi="Times New Roman" w:cs="Times New Roman"/>
                <w:sz w:val="24"/>
                <w:szCs w:val="24"/>
                <w:lang w:val="ro-RO"/>
              </w:rPr>
              <w:t xml:space="preserve"> 149,</w:t>
            </w:r>
          </w:p>
          <w:p w14:paraId="7C8A1D23" w14:textId="1FC5FCE1" w:rsidR="006E395E" w:rsidRDefault="006E395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162, 167, </w:t>
            </w:r>
            <w:r w:rsidR="00C11626">
              <w:rPr>
                <w:rFonts w:ascii="Times New Roman" w:hAnsi="Times New Roman" w:cs="Times New Roman"/>
                <w:sz w:val="24"/>
                <w:szCs w:val="24"/>
                <w:lang w:val="ro-RO"/>
              </w:rPr>
              <w:lastRenderedPageBreak/>
              <w:t xml:space="preserve">168, </w:t>
            </w:r>
            <w:r w:rsidR="00616832">
              <w:rPr>
                <w:rFonts w:ascii="Times New Roman" w:hAnsi="Times New Roman" w:cs="Times New Roman"/>
                <w:sz w:val="24"/>
                <w:szCs w:val="24"/>
                <w:lang w:val="ro-RO"/>
              </w:rPr>
              <w:t xml:space="preserve">169, </w:t>
            </w:r>
            <w:r w:rsidR="00FE3F71">
              <w:rPr>
                <w:rFonts w:ascii="Times New Roman" w:hAnsi="Times New Roman" w:cs="Times New Roman"/>
                <w:sz w:val="24"/>
                <w:szCs w:val="24"/>
                <w:lang w:val="ro-RO"/>
              </w:rPr>
              <w:t>171, 172, 173, 175, 176</w:t>
            </w:r>
          </w:p>
          <w:p w14:paraId="6018567D" w14:textId="0F730B03" w:rsidR="009E4369" w:rsidRPr="00031651" w:rsidRDefault="006E395E"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559" w:type="dxa"/>
          </w:tcPr>
          <w:p w14:paraId="20BAE11D" w14:textId="3A41CC91" w:rsidR="009E4369" w:rsidRPr="00031651" w:rsidRDefault="0069194C" w:rsidP="006E395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lastRenderedPageBreak/>
              <w:t xml:space="preserve">Exploatare prin muncă, </w:t>
            </w:r>
            <w:r w:rsidRPr="00031651">
              <w:rPr>
                <w:rFonts w:ascii="Times New Roman" w:hAnsi="Times New Roman" w:cs="Times New Roman"/>
                <w:sz w:val="24"/>
                <w:szCs w:val="24"/>
                <w:lang w:val="ro-RO"/>
              </w:rPr>
              <w:lastRenderedPageBreak/>
              <w:t>abuz sexual</w:t>
            </w:r>
            <w:r w:rsidR="001069A7" w:rsidRPr="00031651">
              <w:rPr>
                <w:rFonts w:ascii="Times New Roman" w:hAnsi="Times New Roman" w:cs="Times New Roman"/>
                <w:sz w:val="24"/>
                <w:szCs w:val="24"/>
                <w:lang w:val="ro-RO"/>
              </w:rPr>
              <w:t>, dizabilități intelectuale</w:t>
            </w:r>
            <w:r w:rsidR="000D38DE" w:rsidRPr="00031651">
              <w:rPr>
                <w:rFonts w:ascii="Times New Roman" w:hAnsi="Times New Roman" w:cs="Times New Roman"/>
                <w:sz w:val="24"/>
                <w:szCs w:val="24"/>
                <w:lang w:val="ro-RO"/>
              </w:rPr>
              <w:t>, ferma</w:t>
            </w:r>
          </w:p>
        </w:tc>
        <w:tc>
          <w:tcPr>
            <w:tcW w:w="6804" w:type="dxa"/>
          </w:tcPr>
          <w:p w14:paraId="60B56E7E" w14:textId="5C7E728B" w:rsidR="009E4369" w:rsidRPr="00031651" w:rsidRDefault="00ED18B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69D">
              <w:rPr>
                <w:rFonts w:ascii="Times New Roman" w:hAnsi="Times New Roman" w:cs="Times New Roman"/>
                <w:b/>
                <w:bCs/>
                <w:sz w:val="24"/>
                <w:szCs w:val="24"/>
              </w:rPr>
              <w:lastRenderedPageBreak/>
              <w:t>147</w:t>
            </w:r>
            <w:r w:rsidRPr="00031651">
              <w:rPr>
                <w:rFonts w:ascii="Times New Roman" w:hAnsi="Times New Roman" w:cs="Times New Roman"/>
                <w:sz w:val="24"/>
                <w:szCs w:val="24"/>
              </w:rPr>
              <w:t xml:space="preserve">. În prezenta cauză, reclamanta a sesizat autoritățile interne, susținând că a fost izolată la fermă, unde fusese agresată sexual și </w:t>
            </w:r>
            <w:r w:rsidRPr="00031651">
              <w:rPr>
                <w:rFonts w:ascii="Times New Roman" w:hAnsi="Times New Roman" w:cs="Times New Roman"/>
                <w:sz w:val="24"/>
                <w:szCs w:val="24"/>
              </w:rPr>
              <w:lastRenderedPageBreak/>
              <w:t>muncise fără a fi remunerată, în pofida solicitărilor sale de a fi plătită</w:t>
            </w:r>
            <w:r w:rsidR="0025132A">
              <w:rPr>
                <w:rFonts w:ascii="Times New Roman" w:hAnsi="Times New Roman" w:cs="Times New Roman"/>
                <w:sz w:val="24"/>
                <w:szCs w:val="24"/>
              </w:rPr>
              <w:t xml:space="preserve">. </w:t>
            </w:r>
            <w:r w:rsidRPr="00031651">
              <w:rPr>
                <w:rFonts w:ascii="Times New Roman" w:hAnsi="Times New Roman" w:cs="Times New Roman"/>
                <w:sz w:val="24"/>
                <w:szCs w:val="24"/>
              </w:rPr>
              <w:t>Deși primele sale declarații s-au concentrat în principal pe violența sexuală, în situația sa erau prezente elemente ale unui potențial trafic de ființe umane și/sau servitute domestică. În special, ea a vorbit despre înțelegerea prin care fusese luată la fermă pentru a lucra și/sau pentru a deveni soția unui alt lucrător, despre dizabilitatea sa intelectuală, munca neremunerată, lipsa unui alt loc de trai, combinată cu amenințările că va fi alungată de la fermă în cazul în care va cere bani, și elementele distincte de violență sexuală. Inițial, ei i s-a promis că va părăsi internatul și va lucra și locui la fermă, deși nu a negociat o remunerație în prealabil. I.P. și L.P. au efectuat toate aranjamentele necesare pentru a scoate legal reclamanta din azil, conformându-se cu procedura obligatorie prevăzută de lege.</w:t>
            </w:r>
          </w:p>
          <w:p w14:paraId="3C6F6A72" w14:textId="65FCC7E3" w:rsidR="00ED18B4" w:rsidRPr="00031651" w:rsidRDefault="00EC2125"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69D">
              <w:rPr>
                <w:rFonts w:ascii="Times New Roman" w:hAnsi="Times New Roman" w:cs="Times New Roman"/>
                <w:b/>
                <w:bCs/>
                <w:sz w:val="24"/>
                <w:szCs w:val="24"/>
              </w:rPr>
              <w:t>149</w:t>
            </w:r>
            <w:r w:rsidRPr="00031651">
              <w:rPr>
                <w:rFonts w:ascii="Times New Roman" w:hAnsi="Times New Roman" w:cs="Times New Roman"/>
                <w:sz w:val="24"/>
                <w:szCs w:val="24"/>
              </w:rPr>
              <w:t>. În opinia Curții, circumstanțele de mai sus indică în mod clar că reclamanta a formulat o plângere susținută de argumente rezonabile și că existau probe prima facie că fusese victima unui tratament contrar Articolului 4 din Convenție, în modul definit de către Curte. În special, situația personală a reclamantei – dizabilitatea intelectuală și sexul, pe fundalul instituționalizării sale de-a lungul vieții – cu certitudine sugera că ea făcea parte dintr-un grup vulnerabil, iar rolul lui I.P. și L.P. în calitate de îngrijitori indica faptul că ei puteau adopta o poziție dominantă în raport cu reclamanta și puteau abuza de vulnerabilitatea ei în scop de exploatare. În plus, metodele folosite de către I.P. și L.P. pentru a recruta muncitori de la azil sau pentru a o alege pe reclamantă drept „soție” pentru un angajat, precum și respectarea tuturor cerințelor legale pentru plasarea ei în familia lor, pot constitui indicii ale unei forme de recrutare și adăpostire în scop de exploatare – „acțiuni” specifice traficului</w:t>
            </w:r>
            <w:r w:rsidR="006E395E">
              <w:rPr>
                <w:rFonts w:ascii="Times New Roman" w:hAnsi="Times New Roman" w:cs="Times New Roman"/>
                <w:sz w:val="24"/>
                <w:szCs w:val="24"/>
              </w:rPr>
              <w:t xml:space="preserve">. </w:t>
            </w:r>
            <w:r w:rsidRPr="00031651">
              <w:rPr>
                <w:rFonts w:ascii="Times New Roman" w:hAnsi="Times New Roman" w:cs="Times New Roman"/>
                <w:sz w:val="24"/>
                <w:szCs w:val="24"/>
              </w:rPr>
              <w:t xml:space="preserve">Același lucru este valabil în cazul presupusei promisiuni de angajare, pe fondul incapacității reclamantei de a identifica un motiv de îngrijorare. Se mai observă că dizabilitatea reclamantei și instituționalizarea sa pe termen lung, combinate cu aparenta lipsă a unei rețele de sprijin după ieșirea din instituție și </w:t>
            </w:r>
            <w:r w:rsidRPr="00031651">
              <w:rPr>
                <w:rFonts w:ascii="Times New Roman" w:hAnsi="Times New Roman" w:cs="Times New Roman"/>
                <w:sz w:val="24"/>
                <w:szCs w:val="24"/>
              </w:rPr>
              <w:lastRenderedPageBreak/>
              <w:t>diferitele forme mai subtile de constrângere aplicate, au oferit un context pentru prezența elementului de „mijloace” al traficului (abuzul de vulnerabilitate). Același lucru se poate afirma despre situația reclamantei prin care, aparent, ea nu avea o alternativă reală de locuire. Acest fapt, coroborat cu formele subtile de constrângere pentru a presta diverse sarcini în schimbul hranei și al adăpostului, ridică o problemă privind existența servituții domestice ca „scop exploatator” specific traficului, care constituie în sine o formă de tratament interzisă de Articolul 4 din Convenție.</w:t>
            </w:r>
          </w:p>
          <w:p w14:paraId="056D5FC8" w14:textId="77777777" w:rsidR="00EC2125" w:rsidRPr="00031651" w:rsidRDefault="00DE36D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395E">
              <w:rPr>
                <w:rFonts w:ascii="Times New Roman" w:hAnsi="Times New Roman" w:cs="Times New Roman"/>
                <w:b/>
                <w:bCs/>
                <w:sz w:val="24"/>
                <w:szCs w:val="24"/>
              </w:rPr>
              <w:t>162</w:t>
            </w:r>
            <w:r w:rsidRPr="00031651">
              <w:rPr>
                <w:rFonts w:ascii="Times New Roman" w:hAnsi="Times New Roman" w:cs="Times New Roman"/>
                <w:sz w:val="24"/>
                <w:szCs w:val="24"/>
              </w:rPr>
              <w:t>. În opinia Curții, existau indicii suficiente pentru ca autoritățile să fie conștiente de circumstanțele care dădeau naștere unei bănuieli credibile că reclamanta se afla într-un risc real și imediat de a fi victimă a traficului sau a exploatării. Prin urmare, a apărut o obligație pozitivă de a lua măsuri operaționale de protecție în privința reclamantei.</w:t>
            </w:r>
          </w:p>
          <w:p w14:paraId="4E5E9554" w14:textId="2C0783C2" w:rsidR="006E395E" w:rsidRDefault="00643F62"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395E">
              <w:rPr>
                <w:rFonts w:ascii="Times New Roman" w:hAnsi="Times New Roman" w:cs="Times New Roman"/>
                <w:b/>
                <w:bCs/>
                <w:sz w:val="24"/>
                <w:szCs w:val="24"/>
              </w:rPr>
              <w:t>167</w:t>
            </w:r>
            <w:r w:rsidRPr="00031651">
              <w:rPr>
                <w:rFonts w:ascii="Times New Roman" w:hAnsi="Times New Roman" w:cs="Times New Roman"/>
                <w:sz w:val="24"/>
                <w:szCs w:val="24"/>
              </w:rPr>
              <w:t xml:space="preserve">. Ținând cont de sfera obligațiilor pozitive ale Statului reclamat, Curtea va analiza plângerea reclamantei referitoare la un răspuns deficitar din partea autorităților interne în raport cu acuzațiile sale de trafic de persoane și/sau alte tratamente contrare Articolului 4 din Convenție. La efectuarea acestei analize, Curtea va examina dacă au existat vicii sau deficiențe semnificative în procedurile naționale relevante și în procesele decizionale în sensul jurisprudenței sale, și anume dacă aceste deficiențe au fost de natură să submineze capacitatea anchetei de a stabili circumstanțele relevante ale cauzei. </w:t>
            </w:r>
          </w:p>
          <w:p w14:paraId="13FE8E03" w14:textId="77777777" w:rsidR="00076AF6" w:rsidRDefault="00643F62"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E395E">
              <w:rPr>
                <w:rFonts w:ascii="Times New Roman" w:hAnsi="Times New Roman" w:cs="Times New Roman"/>
                <w:b/>
                <w:bCs/>
                <w:sz w:val="24"/>
                <w:szCs w:val="24"/>
              </w:rPr>
              <w:t>168</w:t>
            </w:r>
            <w:r w:rsidRPr="00031651">
              <w:rPr>
                <w:rFonts w:ascii="Times New Roman" w:hAnsi="Times New Roman" w:cs="Times New Roman"/>
                <w:sz w:val="24"/>
                <w:szCs w:val="24"/>
              </w:rPr>
              <w:t>. În prezenta cauză, deși organele de urmărire penală au reacționat prompt la acuzațiile reclamantei, ele nu au urmărit anumite piste evidente de anchetă care ar fi putut clarifica circumstanțele cazului și stabili împrejurările în care reclamanta a fost plasată în familia lui I.P. și L.P. După cum s-a subliniat deja, această obligație rezultă din obligația procedurală a autorităților interne și nu depinde de inițiativa victimei sau de responsabilitatea ei pentru efectuarea măsurilor de investigație. Deoarece organele de urmărire penală sunt</w:t>
            </w:r>
            <w:r w:rsidR="00081CA0" w:rsidRPr="00031651">
              <w:rPr>
                <w:rFonts w:ascii="Times New Roman" w:hAnsi="Times New Roman" w:cs="Times New Roman"/>
                <w:sz w:val="24"/>
                <w:szCs w:val="24"/>
              </w:rPr>
              <w:t xml:space="preserve"> mai bine plasate decât victima pentru a desfășura o anchetă, acțiunea sau inacțiunea victimei nu poate </w:t>
            </w:r>
            <w:r w:rsidR="00081CA0" w:rsidRPr="00031651">
              <w:rPr>
                <w:rFonts w:ascii="Times New Roman" w:hAnsi="Times New Roman" w:cs="Times New Roman"/>
                <w:sz w:val="24"/>
                <w:szCs w:val="24"/>
              </w:rPr>
              <w:lastRenderedPageBreak/>
              <w:t xml:space="preserve">justifica inacțiunea din partea autorităților. Acest aspect este cu atât mai relevant în cazul în care potențiala victimă este o persoană cu dizabilități intelectuale, care ar putea să nu aibă capacitate juridică. </w:t>
            </w:r>
            <w:r w:rsidR="00081CA0" w:rsidRPr="00C11626">
              <w:rPr>
                <w:rFonts w:ascii="Times New Roman" w:hAnsi="Times New Roman" w:cs="Times New Roman"/>
                <w:b/>
                <w:bCs/>
                <w:sz w:val="24"/>
                <w:szCs w:val="24"/>
              </w:rPr>
              <w:t>169</w:t>
            </w:r>
            <w:r w:rsidR="00081CA0" w:rsidRPr="00031651">
              <w:rPr>
                <w:rFonts w:ascii="Times New Roman" w:hAnsi="Times New Roman" w:cs="Times New Roman"/>
                <w:sz w:val="24"/>
                <w:szCs w:val="24"/>
              </w:rPr>
              <w:t>. În acest sens, de exemplu,</w:t>
            </w:r>
            <w:r w:rsidR="004F386F">
              <w:rPr>
                <w:rFonts w:ascii="Times New Roman" w:hAnsi="Times New Roman" w:cs="Times New Roman"/>
                <w:sz w:val="24"/>
                <w:szCs w:val="24"/>
              </w:rPr>
              <w:t xml:space="preserve"> Curtea constată că</w:t>
            </w:r>
            <w:r w:rsidR="00081CA0" w:rsidRPr="00031651">
              <w:rPr>
                <w:rFonts w:ascii="Times New Roman" w:hAnsi="Times New Roman" w:cs="Times New Roman"/>
                <w:sz w:val="24"/>
                <w:szCs w:val="24"/>
              </w:rPr>
              <w:t xml:space="preserve"> se remarcă faptul că nu există indicii că organele de urmărire penală ar fi depus vreun efort pentru a cerceta diligența administrației internatului și luarea în considerare a drepturilor reclamantei în procesul de facilitare a cererii lui I.P. și L.P. de a lua reclamanta în grija lor. Cu toate acestea, după cum s-a notat mai sus, vulnerabilitatea ei, combinată cu motivul declarat al cuplului de a găsi o muncitoare la fermă și/sau o soție pentru un alt lucrător, ar fi trebuit să ridice un semnal de alarmă. Nu s-a evaluat rolul personalului sau al administrației internatului la „selectarea” reclamantei ca fiind potrivită pentru I.P. și L.P. Ancheta nu a abordat nici eșecul voluntar sau neglijent al serviciilor sociale de a realiza monitorizarea ulterioară solicitată de către Minister. </w:t>
            </w:r>
          </w:p>
          <w:p w14:paraId="28270935" w14:textId="77777777" w:rsidR="00AC7A75" w:rsidRDefault="00081CA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7A75">
              <w:rPr>
                <w:rFonts w:ascii="Times New Roman" w:hAnsi="Times New Roman" w:cs="Times New Roman"/>
                <w:b/>
                <w:bCs/>
                <w:sz w:val="24"/>
                <w:szCs w:val="24"/>
              </w:rPr>
              <w:t>171</w:t>
            </w:r>
            <w:r w:rsidRPr="00031651">
              <w:rPr>
                <w:rFonts w:ascii="Times New Roman" w:hAnsi="Times New Roman" w:cs="Times New Roman"/>
                <w:sz w:val="24"/>
                <w:szCs w:val="24"/>
              </w:rPr>
              <w:t>. Curtea mai observă că instanțele interne s-au bazat pe presupusul consimțământ al reclamantei de a fi plasată în familie și de a presta munci la fermă. Totuși, faptul că reclamanta ar fi putut să consimtă, cel puțin inițial, față de plecarea ei la ferma lui I.P. și L.P. este irelevan</w:t>
            </w:r>
            <w:r w:rsidR="00AC7A75">
              <w:rPr>
                <w:rFonts w:ascii="Times New Roman" w:hAnsi="Times New Roman" w:cs="Times New Roman"/>
                <w:sz w:val="24"/>
                <w:szCs w:val="24"/>
              </w:rPr>
              <w:t>t</w:t>
            </w:r>
            <w:r w:rsidRPr="00031651">
              <w:rPr>
                <w:rFonts w:ascii="Times New Roman" w:hAnsi="Times New Roman" w:cs="Times New Roman"/>
                <w:sz w:val="24"/>
                <w:szCs w:val="24"/>
              </w:rPr>
              <w:t xml:space="preserve">. Nu a existat o determinare clară a faptului dacă reclamanta avea capacitatea de a exprima un consimțământ valabil, având în vedere lipsa capacității sale juridice, mediul potențial coercitiv, instituționalizarea sa pe tot parcursul vieții, lipsa unui mecanism de sprijin decizional și dizabilitatea sa intelectuală. În orice caz, conform definițiilor din Convenția anti-trafic, un asemenea consimțământ este irelevant în cazul în care au fost folosite oricare dintre „mijloacele” traficului. </w:t>
            </w:r>
          </w:p>
          <w:p w14:paraId="6297FB6C" w14:textId="77777777" w:rsidR="00AC7A75" w:rsidRDefault="00081CA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7A75">
              <w:rPr>
                <w:rFonts w:ascii="Times New Roman" w:hAnsi="Times New Roman" w:cs="Times New Roman"/>
                <w:b/>
                <w:bCs/>
                <w:sz w:val="24"/>
                <w:szCs w:val="24"/>
              </w:rPr>
              <w:t>172</w:t>
            </w:r>
            <w:r w:rsidRPr="00031651">
              <w:rPr>
                <w:rFonts w:ascii="Times New Roman" w:hAnsi="Times New Roman" w:cs="Times New Roman"/>
                <w:sz w:val="24"/>
                <w:szCs w:val="24"/>
              </w:rPr>
              <w:t xml:space="preserve">. Aceste aspecte erau la fel de importante și pentru analiza existenței unui mediu coercitiv la fermă. În special, instanțele au concluzionat că reclamanta era liberă să părăsească ferma pentru că nu existau garduri și dat fiind faptul că anterior ea plecase și ulterior revenise. În ceea ce privește motivul revenirii reclamantei, instanțele au recunoscut că ferma era locul unde ea avea hrană și </w:t>
            </w:r>
            <w:r w:rsidRPr="00031651">
              <w:rPr>
                <w:rFonts w:ascii="Times New Roman" w:hAnsi="Times New Roman" w:cs="Times New Roman"/>
                <w:sz w:val="24"/>
                <w:szCs w:val="24"/>
              </w:rPr>
              <w:lastRenderedPageBreak/>
              <w:t xml:space="preserve">adăpost. În acest sens, ele nu au evaluat dacă exista un alt loc unde reclamanta putea să beneficieze de hrană și adăpost, mai ales având în vedere declarațiile martorilor care indicau că ea se întorsese din cauza frigului și a lipsei de hrană timp de mai multe zile, de teama de a muri de foame. Totodată, instanța de apel a recunoscut că libertatea de mișcare a reclamantei îi fusese restrânsă, dar a concluzionat că acest fapt era justificat, deoarece reclamanta era lipsită de capacitate juridică . Deși nu poate fi exclus că, în modul susținut de către Guvern, reclamanta ar fi putut solicita autorităților săi asigure întoarcerea la internat, instanțele naționale n-au ținut cont de situația de dependență în care s-a pomenit reclamanta și de dizabilitatea sa intelectuală, care îi reducea capacitatea de a înțelege opțiunile disponibile. </w:t>
            </w:r>
          </w:p>
          <w:p w14:paraId="32F8BE70" w14:textId="77777777" w:rsidR="00AC7A75" w:rsidRDefault="00081CA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7A75">
              <w:rPr>
                <w:rFonts w:ascii="Times New Roman" w:hAnsi="Times New Roman" w:cs="Times New Roman"/>
                <w:b/>
                <w:bCs/>
                <w:sz w:val="24"/>
                <w:szCs w:val="24"/>
              </w:rPr>
              <w:t>173</w:t>
            </w:r>
            <w:r w:rsidRPr="00031651">
              <w:rPr>
                <w:rFonts w:ascii="Times New Roman" w:hAnsi="Times New Roman" w:cs="Times New Roman"/>
                <w:sz w:val="24"/>
                <w:szCs w:val="24"/>
              </w:rPr>
              <w:t xml:space="preserve">. Mai mult, organele de urmărire penală și instanțele nu au stabilit clar ce tip de muncă prestase reclamanta la fermă. Mai mulți martori, inclusiv G.B., au declarat că reclamanta fusese adusă de la internat „pentru a lucra cu el la fermă”, făcând curat în casă, la fermă, gătind și curățând gunoiul de la vaci. Procurorul a menționat îngrijirea animalelor de către reclamantă, însă instanțele au făcut referire doar la ajutorul pe care ea îl oferea în treburile zilnice, considerând orice conflict referitor la salariu drept o chestiune civilă. Deși procuratura a subliniat beneficiul economic obținut de către inculpați prin munca gratuită, instanțele au adoptat poziția inculpaților, care au negat valoarea economică a muncilor casnice (curățenia și gătitul mâncării pentru G.B.) și a altor lucrări asociate cu viața rurală (curățatul grajdurilor, îngrijirea animalelor). Inculpații luaseră reclamanta din internat explicit pentru a face curățenie și a găti pentru G.B., considerând că era normal ca reclamanta să presteze asemenea munci în mod voluntar și fără o remunerare, deși aceste lucrări aduceau beneficii fermei și singurului lor angajat permanent, G.B., care lucra cu o remunerație minimă sau chiar în lipsa acesteia. Instanțele s-au bazat pe concluziile Inspectoratului Muncii, care a constatat că nu existau rapoarte de muncă, deoarece nu fuseseră găsite acte care să </w:t>
            </w:r>
            <w:r w:rsidRPr="00031651">
              <w:rPr>
                <w:rFonts w:ascii="Times New Roman" w:hAnsi="Times New Roman" w:cs="Times New Roman"/>
                <w:sz w:val="24"/>
                <w:szCs w:val="24"/>
              </w:rPr>
              <w:lastRenderedPageBreak/>
              <w:t xml:space="preserve">confirme acest fapt, și că era de competența instanței civile să determine astfel de raporturi în baza probelor care trebuiau prezentate de către reclamantă. Este de la sine înțeles că, într-o investigație referitoare la exploatare prin muncă, prezența actelor juridice este foarte improbabilă, și anume lipsa unor asemenea aranjamente juridice stă la baza infracțiunii investigate. </w:t>
            </w:r>
          </w:p>
          <w:p w14:paraId="58C02C5E" w14:textId="77777777" w:rsidR="00AC7A75" w:rsidRDefault="00081CA0"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7A75">
              <w:rPr>
                <w:rFonts w:ascii="Times New Roman" w:hAnsi="Times New Roman" w:cs="Times New Roman"/>
                <w:b/>
                <w:bCs/>
                <w:sz w:val="24"/>
                <w:szCs w:val="24"/>
              </w:rPr>
              <w:t>175</w:t>
            </w:r>
            <w:r w:rsidRPr="00031651">
              <w:rPr>
                <w:rFonts w:ascii="Times New Roman" w:hAnsi="Times New Roman" w:cs="Times New Roman"/>
                <w:sz w:val="24"/>
                <w:szCs w:val="24"/>
              </w:rPr>
              <w:t>. Toate aceste elemente indică, în opinia Curții, că autoritățile nu au investigat efectiv toate circumstanțele relevante ale cauzei și nu au urmărit anumite piste evidente de investigație pentru a acumula probele disponibile, conform obligației lor procedurale în baza Articolului 4 din Convenție. Curtea</w:t>
            </w:r>
            <w:r w:rsidR="00AC1FA4" w:rsidRPr="00031651">
              <w:rPr>
                <w:rFonts w:ascii="Times New Roman" w:hAnsi="Times New Roman" w:cs="Times New Roman"/>
                <w:sz w:val="24"/>
                <w:szCs w:val="24"/>
              </w:rPr>
              <w:t xml:space="preserve"> este de părerea că multiplele deficiențe ale procuraturii în conducerea cauzei, menționate mai sus, au subminat în mod fundamental abilitatea autorităților naționale, inclusiv a instanțelor relevante, de a determina adevărata natură a plasării reclamantei în grija lui I.P. și L.P., inclusiv pretinsa exploatare a reclamantei de către ultimii în scop de prestare a muncii, în modul invocat de către ea. </w:t>
            </w:r>
          </w:p>
          <w:p w14:paraId="3C5AD7FF" w14:textId="42E7FC20" w:rsidR="00DE36D4" w:rsidRPr="00031651" w:rsidRDefault="00AC1FA4" w:rsidP="00B04F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C7A75">
              <w:rPr>
                <w:rFonts w:ascii="Times New Roman" w:hAnsi="Times New Roman" w:cs="Times New Roman"/>
                <w:b/>
                <w:bCs/>
                <w:sz w:val="24"/>
                <w:szCs w:val="24"/>
              </w:rPr>
              <w:t>176</w:t>
            </w:r>
            <w:r w:rsidRPr="00031651">
              <w:rPr>
                <w:rFonts w:ascii="Times New Roman" w:hAnsi="Times New Roman" w:cs="Times New Roman"/>
                <w:sz w:val="24"/>
                <w:szCs w:val="24"/>
              </w:rPr>
              <w:t>. Corespunzător, aceste constatări sunt suficiente pentru ca Curtea să concluzioneze, fără a se pronunța asupra vinovăției lui I.P. și L.P., că au existat deficiențe semnificative în reacția procedurală a autorităților naționale la plângerea plauzibilă și dovezile prima facie că reclamanta fusese supusă unui tratament contrar Articolului 4 din Convenție. Așadar, Curtea constată că modul în care mecanismele penale au fost aplicate în prezenta cauză a fost defectuos, constituind o încălcare a obligației procedurale a Statului reclamat prevăzute de Articolul 4 din Convenție.</w:t>
            </w:r>
          </w:p>
        </w:tc>
        <w:tc>
          <w:tcPr>
            <w:tcW w:w="2693" w:type="dxa"/>
          </w:tcPr>
          <w:p w14:paraId="7BA954C1" w14:textId="2B89F209" w:rsidR="009E4369" w:rsidRPr="00031651" w:rsidRDefault="00FE3F71"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Pr>
                <w:rFonts w:ascii="Times New Roman" w:hAnsi="Times New Roman" w:cs="Times New Roman"/>
                <w:sz w:val="24"/>
                <w:szCs w:val="24"/>
                <w:lang w:val="ro-RO"/>
              </w:rPr>
              <w:lastRenderedPageBreak/>
              <w:t>Violare a</w:t>
            </w:r>
            <w:r w:rsidR="00AC1FA4" w:rsidRPr="00031651">
              <w:rPr>
                <w:rFonts w:ascii="Times New Roman" w:hAnsi="Times New Roman" w:cs="Times New Roman"/>
                <w:sz w:val="24"/>
                <w:szCs w:val="24"/>
                <w:lang w:val="ro-RO"/>
              </w:rPr>
              <w:t xml:space="preserve">rt.4 </w:t>
            </w:r>
            <w:r>
              <w:rPr>
                <w:rFonts w:ascii="Times New Roman" w:hAnsi="Times New Roman" w:cs="Times New Roman"/>
                <w:sz w:val="24"/>
                <w:szCs w:val="24"/>
                <w:lang w:val="ro-RO"/>
              </w:rPr>
              <w:t>(</w:t>
            </w:r>
            <w:r w:rsidR="00AC1FA4" w:rsidRPr="00031651">
              <w:rPr>
                <w:rFonts w:ascii="Times New Roman" w:hAnsi="Times New Roman" w:cs="Times New Roman"/>
                <w:sz w:val="24"/>
                <w:szCs w:val="24"/>
                <w:lang w:val="ro-RO"/>
              </w:rPr>
              <w:t>aspect procedural și material</w:t>
            </w:r>
            <w:r>
              <w:rPr>
                <w:rFonts w:ascii="Times New Roman" w:hAnsi="Times New Roman" w:cs="Times New Roman"/>
                <w:sz w:val="24"/>
                <w:szCs w:val="24"/>
                <w:lang w:val="ro-RO"/>
              </w:rPr>
              <w:t>)</w:t>
            </w:r>
          </w:p>
          <w:p w14:paraId="78896E39" w14:textId="77777777" w:rsidR="00AC1FA4" w:rsidRPr="00031651" w:rsidRDefault="00AC1FA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40414C1C" w14:textId="77777777" w:rsidR="00AC1FA4" w:rsidRPr="00031651" w:rsidRDefault="00AC1FA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35 000 EUR </w:t>
            </w:r>
          </w:p>
          <w:p w14:paraId="4FC858EF" w14:textId="77777777" w:rsidR="00AC1FA4" w:rsidRPr="00031651" w:rsidRDefault="00AC1FA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(prejudiciu moral)</w:t>
            </w:r>
          </w:p>
          <w:p w14:paraId="46049D16" w14:textId="626D92DD" w:rsidR="00AC1FA4" w:rsidRPr="00031651" w:rsidRDefault="00AC1FA4"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p w14:paraId="347872A6" w14:textId="77777777" w:rsidR="004A43B3" w:rsidRPr="00031651" w:rsidRDefault="004A43B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8587 EUR </w:t>
            </w:r>
          </w:p>
          <w:p w14:paraId="041D2FE7" w14:textId="3605CA20" w:rsidR="004A43B3" w:rsidRPr="00031651" w:rsidRDefault="004A43B3" w:rsidP="00B04F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31651">
              <w:rPr>
                <w:rFonts w:ascii="Times New Roman" w:hAnsi="Times New Roman" w:cs="Times New Roman"/>
                <w:sz w:val="24"/>
                <w:szCs w:val="24"/>
                <w:lang w:val="ro-RO"/>
              </w:rPr>
              <w:t xml:space="preserve">(costuri și cheltuieli) </w:t>
            </w:r>
          </w:p>
        </w:tc>
      </w:tr>
    </w:tbl>
    <w:p w14:paraId="6EBC4A19" w14:textId="77777777" w:rsidR="00683E79" w:rsidRPr="00031651" w:rsidRDefault="00683E79">
      <w:pPr>
        <w:rPr>
          <w:rFonts w:ascii="Times New Roman" w:hAnsi="Times New Roman" w:cs="Times New Roman"/>
          <w:lang w:val="ro-RO"/>
        </w:rPr>
      </w:pPr>
    </w:p>
    <w:p w14:paraId="03B48551" w14:textId="77777777" w:rsidR="00D81384" w:rsidRPr="00031651" w:rsidRDefault="00D81384">
      <w:pPr>
        <w:rPr>
          <w:rFonts w:ascii="Times New Roman" w:hAnsi="Times New Roman" w:cs="Times New Roman"/>
          <w:lang w:val="ro-RO"/>
        </w:rPr>
      </w:pPr>
    </w:p>
    <w:p w14:paraId="0D429674" w14:textId="77777777" w:rsidR="00D81384" w:rsidRPr="00031651" w:rsidRDefault="00D81384">
      <w:pPr>
        <w:rPr>
          <w:rFonts w:ascii="Times New Roman" w:hAnsi="Times New Roman" w:cs="Times New Roman"/>
          <w:lang w:val="ro-RO"/>
        </w:rPr>
      </w:pPr>
    </w:p>
    <w:p w14:paraId="6B608199" w14:textId="77777777" w:rsidR="00D81384" w:rsidRPr="00031651" w:rsidRDefault="00D81384">
      <w:pPr>
        <w:rPr>
          <w:rFonts w:ascii="Times New Roman" w:hAnsi="Times New Roman" w:cs="Times New Roman"/>
          <w:lang w:val="ro-RO"/>
        </w:rPr>
      </w:pPr>
    </w:p>
    <w:p w14:paraId="1037601B" w14:textId="77777777" w:rsidR="00D81384" w:rsidRPr="00031651" w:rsidRDefault="00D81384">
      <w:pPr>
        <w:rPr>
          <w:rFonts w:ascii="Times New Roman" w:hAnsi="Times New Roman" w:cs="Times New Roman"/>
          <w:lang w:val="ro-RO"/>
        </w:rPr>
      </w:pPr>
    </w:p>
    <w:p w14:paraId="71208183" w14:textId="77777777" w:rsidR="00D81384" w:rsidRPr="00031651" w:rsidRDefault="00D81384">
      <w:pPr>
        <w:rPr>
          <w:rFonts w:ascii="Times New Roman" w:hAnsi="Times New Roman" w:cs="Times New Roman"/>
          <w:lang w:val="ro-RO"/>
        </w:rPr>
      </w:pPr>
    </w:p>
    <w:sectPr w:rsidR="00D81384" w:rsidRPr="00031651" w:rsidSect="00683E7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179DB"/>
    <w:multiLevelType w:val="multilevel"/>
    <w:tmpl w:val="155A5DE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52D"/>
    <w:rsid w:val="00001868"/>
    <w:rsid w:val="000024AE"/>
    <w:rsid w:val="00007D69"/>
    <w:rsid w:val="00012576"/>
    <w:rsid w:val="000137C6"/>
    <w:rsid w:val="00013ECC"/>
    <w:rsid w:val="00017AF9"/>
    <w:rsid w:val="00022FDE"/>
    <w:rsid w:val="00024535"/>
    <w:rsid w:val="00025B24"/>
    <w:rsid w:val="0003000B"/>
    <w:rsid w:val="00031651"/>
    <w:rsid w:val="00034CB9"/>
    <w:rsid w:val="00035B92"/>
    <w:rsid w:val="00040780"/>
    <w:rsid w:val="00040907"/>
    <w:rsid w:val="00043E74"/>
    <w:rsid w:val="000520F9"/>
    <w:rsid w:val="00056748"/>
    <w:rsid w:val="00060F1A"/>
    <w:rsid w:val="00061F5E"/>
    <w:rsid w:val="00072467"/>
    <w:rsid w:val="00076AF6"/>
    <w:rsid w:val="0008184A"/>
    <w:rsid w:val="000819EB"/>
    <w:rsid w:val="00081CA0"/>
    <w:rsid w:val="0008318D"/>
    <w:rsid w:val="00086FEE"/>
    <w:rsid w:val="00091011"/>
    <w:rsid w:val="0009207B"/>
    <w:rsid w:val="00095375"/>
    <w:rsid w:val="00097B15"/>
    <w:rsid w:val="00097F8B"/>
    <w:rsid w:val="000A41D0"/>
    <w:rsid w:val="000A70D7"/>
    <w:rsid w:val="000B57ED"/>
    <w:rsid w:val="000C41C9"/>
    <w:rsid w:val="000C454C"/>
    <w:rsid w:val="000C7789"/>
    <w:rsid w:val="000C7AB7"/>
    <w:rsid w:val="000D0688"/>
    <w:rsid w:val="000D10CA"/>
    <w:rsid w:val="000D2CEF"/>
    <w:rsid w:val="000D38DE"/>
    <w:rsid w:val="000D3C86"/>
    <w:rsid w:val="000D7102"/>
    <w:rsid w:val="000E3A47"/>
    <w:rsid w:val="000E4A5A"/>
    <w:rsid w:val="000E7089"/>
    <w:rsid w:val="000F0116"/>
    <w:rsid w:val="000F208F"/>
    <w:rsid w:val="000F3DFC"/>
    <w:rsid w:val="000F5E3A"/>
    <w:rsid w:val="0010257E"/>
    <w:rsid w:val="001069A7"/>
    <w:rsid w:val="001102C6"/>
    <w:rsid w:val="00110C8E"/>
    <w:rsid w:val="00110CE7"/>
    <w:rsid w:val="00112AB9"/>
    <w:rsid w:val="001134DC"/>
    <w:rsid w:val="001157B3"/>
    <w:rsid w:val="00115F77"/>
    <w:rsid w:val="001169DA"/>
    <w:rsid w:val="00117EFC"/>
    <w:rsid w:val="00121EB0"/>
    <w:rsid w:val="0013347D"/>
    <w:rsid w:val="00134E50"/>
    <w:rsid w:val="00140323"/>
    <w:rsid w:val="001409EF"/>
    <w:rsid w:val="00140CE4"/>
    <w:rsid w:val="001444B5"/>
    <w:rsid w:val="001479DE"/>
    <w:rsid w:val="00150622"/>
    <w:rsid w:val="00151091"/>
    <w:rsid w:val="00151562"/>
    <w:rsid w:val="001560C6"/>
    <w:rsid w:val="001564FE"/>
    <w:rsid w:val="00166A0F"/>
    <w:rsid w:val="00167049"/>
    <w:rsid w:val="0016755C"/>
    <w:rsid w:val="00171E7A"/>
    <w:rsid w:val="00176C63"/>
    <w:rsid w:val="00176C6E"/>
    <w:rsid w:val="00182466"/>
    <w:rsid w:val="0018288B"/>
    <w:rsid w:val="00185431"/>
    <w:rsid w:val="00186264"/>
    <w:rsid w:val="0018728B"/>
    <w:rsid w:val="00191ABF"/>
    <w:rsid w:val="00192551"/>
    <w:rsid w:val="0019799A"/>
    <w:rsid w:val="001A1A35"/>
    <w:rsid w:val="001A3EB9"/>
    <w:rsid w:val="001A43D2"/>
    <w:rsid w:val="001A691C"/>
    <w:rsid w:val="001B0122"/>
    <w:rsid w:val="001B4571"/>
    <w:rsid w:val="001B5466"/>
    <w:rsid w:val="001B626D"/>
    <w:rsid w:val="001B72F7"/>
    <w:rsid w:val="001B752D"/>
    <w:rsid w:val="001C13A8"/>
    <w:rsid w:val="001C5DCD"/>
    <w:rsid w:val="001C66A9"/>
    <w:rsid w:val="001D0391"/>
    <w:rsid w:val="001D411E"/>
    <w:rsid w:val="001D7C7D"/>
    <w:rsid w:val="001E2212"/>
    <w:rsid w:val="001E5A96"/>
    <w:rsid w:val="001E7B86"/>
    <w:rsid w:val="001F0486"/>
    <w:rsid w:val="001F312A"/>
    <w:rsid w:val="001F60D7"/>
    <w:rsid w:val="001F70B7"/>
    <w:rsid w:val="002003BC"/>
    <w:rsid w:val="0020336F"/>
    <w:rsid w:val="00205782"/>
    <w:rsid w:val="00206CCA"/>
    <w:rsid w:val="00207FC3"/>
    <w:rsid w:val="00220828"/>
    <w:rsid w:val="002217BD"/>
    <w:rsid w:val="002218C7"/>
    <w:rsid w:val="00222B85"/>
    <w:rsid w:val="0023230E"/>
    <w:rsid w:val="00233078"/>
    <w:rsid w:val="00233563"/>
    <w:rsid w:val="0023534D"/>
    <w:rsid w:val="0023564B"/>
    <w:rsid w:val="00237035"/>
    <w:rsid w:val="00237AE8"/>
    <w:rsid w:val="002441B6"/>
    <w:rsid w:val="0025004E"/>
    <w:rsid w:val="002505C0"/>
    <w:rsid w:val="0025132A"/>
    <w:rsid w:val="00251C80"/>
    <w:rsid w:val="002520D9"/>
    <w:rsid w:val="00254078"/>
    <w:rsid w:val="00254AAC"/>
    <w:rsid w:val="002615BF"/>
    <w:rsid w:val="00267905"/>
    <w:rsid w:val="00270527"/>
    <w:rsid w:val="00272E30"/>
    <w:rsid w:val="00273262"/>
    <w:rsid w:val="002735D2"/>
    <w:rsid w:val="00274B31"/>
    <w:rsid w:val="00275C6F"/>
    <w:rsid w:val="0027626F"/>
    <w:rsid w:val="00277534"/>
    <w:rsid w:val="00277E89"/>
    <w:rsid w:val="00277EF4"/>
    <w:rsid w:val="0028075B"/>
    <w:rsid w:val="00282991"/>
    <w:rsid w:val="0028305A"/>
    <w:rsid w:val="00283648"/>
    <w:rsid w:val="00285B9C"/>
    <w:rsid w:val="002863A0"/>
    <w:rsid w:val="0029510E"/>
    <w:rsid w:val="002A052B"/>
    <w:rsid w:val="002A1CEE"/>
    <w:rsid w:val="002A792C"/>
    <w:rsid w:val="002A7FC5"/>
    <w:rsid w:val="002B236E"/>
    <w:rsid w:val="002B7651"/>
    <w:rsid w:val="002C02A7"/>
    <w:rsid w:val="002C219D"/>
    <w:rsid w:val="002C4E04"/>
    <w:rsid w:val="002D023E"/>
    <w:rsid w:val="002D109B"/>
    <w:rsid w:val="002D153B"/>
    <w:rsid w:val="002E4024"/>
    <w:rsid w:val="002E7C0D"/>
    <w:rsid w:val="002F4231"/>
    <w:rsid w:val="002F5C16"/>
    <w:rsid w:val="002F6A22"/>
    <w:rsid w:val="002F712F"/>
    <w:rsid w:val="00306E27"/>
    <w:rsid w:val="00311F8B"/>
    <w:rsid w:val="00320501"/>
    <w:rsid w:val="00322FD2"/>
    <w:rsid w:val="0032374F"/>
    <w:rsid w:val="00327BD6"/>
    <w:rsid w:val="003300A8"/>
    <w:rsid w:val="00331672"/>
    <w:rsid w:val="0034181F"/>
    <w:rsid w:val="003430C7"/>
    <w:rsid w:val="00344791"/>
    <w:rsid w:val="00353286"/>
    <w:rsid w:val="003579D9"/>
    <w:rsid w:val="0037254B"/>
    <w:rsid w:val="00373BBB"/>
    <w:rsid w:val="00377EB5"/>
    <w:rsid w:val="0038230A"/>
    <w:rsid w:val="0038292C"/>
    <w:rsid w:val="00382CC3"/>
    <w:rsid w:val="00383AB7"/>
    <w:rsid w:val="0038564C"/>
    <w:rsid w:val="003868B9"/>
    <w:rsid w:val="003902E3"/>
    <w:rsid w:val="00390657"/>
    <w:rsid w:val="003946B3"/>
    <w:rsid w:val="0039605A"/>
    <w:rsid w:val="003965A8"/>
    <w:rsid w:val="0039709C"/>
    <w:rsid w:val="003A20A9"/>
    <w:rsid w:val="003A659A"/>
    <w:rsid w:val="003B22F6"/>
    <w:rsid w:val="003B242F"/>
    <w:rsid w:val="003B3762"/>
    <w:rsid w:val="003B4A6D"/>
    <w:rsid w:val="003B7965"/>
    <w:rsid w:val="003B7C6D"/>
    <w:rsid w:val="003C0127"/>
    <w:rsid w:val="003C02A6"/>
    <w:rsid w:val="003C1D9F"/>
    <w:rsid w:val="003C2655"/>
    <w:rsid w:val="003C2AC6"/>
    <w:rsid w:val="003C6129"/>
    <w:rsid w:val="003D17AA"/>
    <w:rsid w:val="003E3DCD"/>
    <w:rsid w:val="003E457F"/>
    <w:rsid w:val="003F0EA6"/>
    <w:rsid w:val="003F1737"/>
    <w:rsid w:val="003F2FC2"/>
    <w:rsid w:val="003F4917"/>
    <w:rsid w:val="003F550E"/>
    <w:rsid w:val="00402215"/>
    <w:rsid w:val="00403A0A"/>
    <w:rsid w:val="0040420C"/>
    <w:rsid w:val="00407B42"/>
    <w:rsid w:val="0041068B"/>
    <w:rsid w:val="00410EAA"/>
    <w:rsid w:val="00414C6C"/>
    <w:rsid w:val="004153C8"/>
    <w:rsid w:val="004156BB"/>
    <w:rsid w:val="0041705C"/>
    <w:rsid w:val="00417C18"/>
    <w:rsid w:val="004208B7"/>
    <w:rsid w:val="00421839"/>
    <w:rsid w:val="004227FB"/>
    <w:rsid w:val="0042298C"/>
    <w:rsid w:val="00431F6C"/>
    <w:rsid w:val="0043261E"/>
    <w:rsid w:val="00440910"/>
    <w:rsid w:val="00444BFA"/>
    <w:rsid w:val="004658DA"/>
    <w:rsid w:val="00465ECC"/>
    <w:rsid w:val="00470CFE"/>
    <w:rsid w:val="00471C3F"/>
    <w:rsid w:val="0047247D"/>
    <w:rsid w:val="00474F6C"/>
    <w:rsid w:val="00476CE2"/>
    <w:rsid w:val="004805AE"/>
    <w:rsid w:val="004829FC"/>
    <w:rsid w:val="00484191"/>
    <w:rsid w:val="00487825"/>
    <w:rsid w:val="00495539"/>
    <w:rsid w:val="004956FA"/>
    <w:rsid w:val="00495945"/>
    <w:rsid w:val="00497AC1"/>
    <w:rsid w:val="004A0409"/>
    <w:rsid w:val="004A15D7"/>
    <w:rsid w:val="004A21FA"/>
    <w:rsid w:val="004A43B3"/>
    <w:rsid w:val="004A5CD6"/>
    <w:rsid w:val="004C01E1"/>
    <w:rsid w:val="004C3061"/>
    <w:rsid w:val="004C64AB"/>
    <w:rsid w:val="004C6ABA"/>
    <w:rsid w:val="004D11E6"/>
    <w:rsid w:val="004D5039"/>
    <w:rsid w:val="004D7743"/>
    <w:rsid w:val="004E035A"/>
    <w:rsid w:val="004E407B"/>
    <w:rsid w:val="004E5BE2"/>
    <w:rsid w:val="004F386F"/>
    <w:rsid w:val="004F52A7"/>
    <w:rsid w:val="004F6291"/>
    <w:rsid w:val="004F65CE"/>
    <w:rsid w:val="004F7EF2"/>
    <w:rsid w:val="00505465"/>
    <w:rsid w:val="005059DD"/>
    <w:rsid w:val="00513ECB"/>
    <w:rsid w:val="00514036"/>
    <w:rsid w:val="00514C36"/>
    <w:rsid w:val="00517338"/>
    <w:rsid w:val="0052559B"/>
    <w:rsid w:val="005255B8"/>
    <w:rsid w:val="005315E7"/>
    <w:rsid w:val="00533D6F"/>
    <w:rsid w:val="005342AC"/>
    <w:rsid w:val="0053482A"/>
    <w:rsid w:val="00534B74"/>
    <w:rsid w:val="005369A9"/>
    <w:rsid w:val="005426A1"/>
    <w:rsid w:val="0054521E"/>
    <w:rsid w:val="0054604E"/>
    <w:rsid w:val="00546B52"/>
    <w:rsid w:val="00547C84"/>
    <w:rsid w:val="00550391"/>
    <w:rsid w:val="005537C5"/>
    <w:rsid w:val="0056009E"/>
    <w:rsid w:val="005601D8"/>
    <w:rsid w:val="00562953"/>
    <w:rsid w:val="00562BB5"/>
    <w:rsid w:val="00563CBB"/>
    <w:rsid w:val="00566A08"/>
    <w:rsid w:val="00571029"/>
    <w:rsid w:val="00571B45"/>
    <w:rsid w:val="00573BFA"/>
    <w:rsid w:val="00573DD4"/>
    <w:rsid w:val="00577DAA"/>
    <w:rsid w:val="00580698"/>
    <w:rsid w:val="00584472"/>
    <w:rsid w:val="00586759"/>
    <w:rsid w:val="005874B4"/>
    <w:rsid w:val="00590421"/>
    <w:rsid w:val="00592E22"/>
    <w:rsid w:val="0059352B"/>
    <w:rsid w:val="0059610B"/>
    <w:rsid w:val="005A0622"/>
    <w:rsid w:val="005A1359"/>
    <w:rsid w:val="005A300E"/>
    <w:rsid w:val="005A599C"/>
    <w:rsid w:val="005A7597"/>
    <w:rsid w:val="005B7C9F"/>
    <w:rsid w:val="005C3D46"/>
    <w:rsid w:val="005C42DE"/>
    <w:rsid w:val="005C45E4"/>
    <w:rsid w:val="005C5B64"/>
    <w:rsid w:val="005C5CFE"/>
    <w:rsid w:val="005C717F"/>
    <w:rsid w:val="005C799D"/>
    <w:rsid w:val="005D3DD2"/>
    <w:rsid w:val="005D5364"/>
    <w:rsid w:val="005D7AC0"/>
    <w:rsid w:val="005E587C"/>
    <w:rsid w:val="005E6FF6"/>
    <w:rsid w:val="005F0565"/>
    <w:rsid w:val="005F5B1B"/>
    <w:rsid w:val="005F7DCB"/>
    <w:rsid w:val="006059CB"/>
    <w:rsid w:val="00606E02"/>
    <w:rsid w:val="006074BE"/>
    <w:rsid w:val="006114FA"/>
    <w:rsid w:val="00611B73"/>
    <w:rsid w:val="00611FD1"/>
    <w:rsid w:val="00616832"/>
    <w:rsid w:val="00616DBA"/>
    <w:rsid w:val="00617BB0"/>
    <w:rsid w:val="00625E25"/>
    <w:rsid w:val="006262A4"/>
    <w:rsid w:val="00631695"/>
    <w:rsid w:val="00640BDF"/>
    <w:rsid w:val="00640CA1"/>
    <w:rsid w:val="00642F70"/>
    <w:rsid w:val="00643F62"/>
    <w:rsid w:val="00644CAA"/>
    <w:rsid w:val="006501C6"/>
    <w:rsid w:val="0065059C"/>
    <w:rsid w:val="006520D6"/>
    <w:rsid w:val="00652DC8"/>
    <w:rsid w:val="00655CBE"/>
    <w:rsid w:val="006627BA"/>
    <w:rsid w:val="0066497D"/>
    <w:rsid w:val="006652C3"/>
    <w:rsid w:val="00665CD5"/>
    <w:rsid w:val="00666814"/>
    <w:rsid w:val="00672A06"/>
    <w:rsid w:val="00672C0E"/>
    <w:rsid w:val="006748D2"/>
    <w:rsid w:val="00677FAD"/>
    <w:rsid w:val="006816A0"/>
    <w:rsid w:val="00682CCB"/>
    <w:rsid w:val="00683AFF"/>
    <w:rsid w:val="00683E79"/>
    <w:rsid w:val="0068485B"/>
    <w:rsid w:val="0069194C"/>
    <w:rsid w:val="0069605B"/>
    <w:rsid w:val="006964FA"/>
    <w:rsid w:val="00696C3A"/>
    <w:rsid w:val="006A21D7"/>
    <w:rsid w:val="006A2F1E"/>
    <w:rsid w:val="006A3977"/>
    <w:rsid w:val="006A4002"/>
    <w:rsid w:val="006B0302"/>
    <w:rsid w:val="006B0517"/>
    <w:rsid w:val="006B14B7"/>
    <w:rsid w:val="006B182D"/>
    <w:rsid w:val="006C0029"/>
    <w:rsid w:val="006C230B"/>
    <w:rsid w:val="006C34A2"/>
    <w:rsid w:val="006C4AF7"/>
    <w:rsid w:val="006C6F72"/>
    <w:rsid w:val="006C7672"/>
    <w:rsid w:val="006D1F21"/>
    <w:rsid w:val="006E0495"/>
    <w:rsid w:val="006E328D"/>
    <w:rsid w:val="006E395E"/>
    <w:rsid w:val="006E6AFC"/>
    <w:rsid w:val="006F0514"/>
    <w:rsid w:val="006F26BF"/>
    <w:rsid w:val="006F3CA4"/>
    <w:rsid w:val="006F409D"/>
    <w:rsid w:val="006F4C2F"/>
    <w:rsid w:val="00700525"/>
    <w:rsid w:val="007072C9"/>
    <w:rsid w:val="007102CE"/>
    <w:rsid w:val="00711CEE"/>
    <w:rsid w:val="007122CC"/>
    <w:rsid w:val="0071470B"/>
    <w:rsid w:val="0071732E"/>
    <w:rsid w:val="00717874"/>
    <w:rsid w:val="00735270"/>
    <w:rsid w:val="00737812"/>
    <w:rsid w:val="00737EA2"/>
    <w:rsid w:val="00740D94"/>
    <w:rsid w:val="00741FA5"/>
    <w:rsid w:val="00742532"/>
    <w:rsid w:val="0074285B"/>
    <w:rsid w:val="007431C8"/>
    <w:rsid w:val="0074368A"/>
    <w:rsid w:val="00744358"/>
    <w:rsid w:val="00744D85"/>
    <w:rsid w:val="007473EB"/>
    <w:rsid w:val="0075043B"/>
    <w:rsid w:val="00757E7F"/>
    <w:rsid w:val="007617D9"/>
    <w:rsid w:val="00762F0B"/>
    <w:rsid w:val="00763C37"/>
    <w:rsid w:val="007727FB"/>
    <w:rsid w:val="00781738"/>
    <w:rsid w:val="0078312B"/>
    <w:rsid w:val="00785A8E"/>
    <w:rsid w:val="0079022A"/>
    <w:rsid w:val="00794405"/>
    <w:rsid w:val="00797201"/>
    <w:rsid w:val="007A40B7"/>
    <w:rsid w:val="007A6B6F"/>
    <w:rsid w:val="007A6FEE"/>
    <w:rsid w:val="007A7547"/>
    <w:rsid w:val="007B52FE"/>
    <w:rsid w:val="007C15D2"/>
    <w:rsid w:val="007C3359"/>
    <w:rsid w:val="007C5284"/>
    <w:rsid w:val="007C6C06"/>
    <w:rsid w:val="007D3A71"/>
    <w:rsid w:val="007D3ABE"/>
    <w:rsid w:val="007D3CA6"/>
    <w:rsid w:val="007E17A7"/>
    <w:rsid w:val="007E2E43"/>
    <w:rsid w:val="007E3F75"/>
    <w:rsid w:val="007E4774"/>
    <w:rsid w:val="007E783F"/>
    <w:rsid w:val="007F06CA"/>
    <w:rsid w:val="007F1E7F"/>
    <w:rsid w:val="00805263"/>
    <w:rsid w:val="00807C61"/>
    <w:rsid w:val="008106BD"/>
    <w:rsid w:val="0081159B"/>
    <w:rsid w:val="00811AFF"/>
    <w:rsid w:val="00811C6D"/>
    <w:rsid w:val="00815FC7"/>
    <w:rsid w:val="00817F00"/>
    <w:rsid w:val="008215B9"/>
    <w:rsid w:val="00822DDD"/>
    <w:rsid w:val="00823CFE"/>
    <w:rsid w:val="00823F49"/>
    <w:rsid w:val="00826233"/>
    <w:rsid w:val="008329FE"/>
    <w:rsid w:val="008403C4"/>
    <w:rsid w:val="00841D74"/>
    <w:rsid w:val="00844A70"/>
    <w:rsid w:val="00844C0C"/>
    <w:rsid w:val="00850ACE"/>
    <w:rsid w:val="00851DBF"/>
    <w:rsid w:val="00854AF2"/>
    <w:rsid w:val="00854B08"/>
    <w:rsid w:val="00864C15"/>
    <w:rsid w:val="00865AE6"/>
    <w:rsid w:val="00866302"/>
    <w:rsid w:val="008667DD"/>
    <w:rsid w:val="00867100"/>
    <w:rsid w:val="008743CF"/>
    <w:rsid w:val="0087556F"/>
    <w:rsid w:val="00877897"/>
    <w:rsid w:val="00884668"/>
    <w:rsid w:val="00885F70"/>
    <w:rsid w:val="00891602"/>
    <w:rsid w:val="00892742"/>
    <w:rsid w:val="0089353D"/>
    <w:rsid w:val="00893BCC"/>
    <w:rsid w:val="00896199"/>
    <w:rsid w:val="008A148D"/>
    <w:rsid w:val="008B0510"/>
    <w:rsid w:val="008B5A3A"/>
    <w:rsid w:val="008B5FC5"/>
    <w:rsid w:val="008C0201"/>
    <w:rsid w:val="008C3177"/>
    <w:rsid w:val="008C47C0"/>
    <w:rsid w:val="008D1227"/>
    <w:rsid w:val="008D13E2"/>
    <w:rsid w:val="008D1CF2"/>
    <w:rsid w:val="008D20BF"/>
    <w:rsid w:val="008E094B"/>
    <w:rsid w:val="008E496A"/>
    <w:rsid w:val="008F118E"/>
    <w:rsid w:val="008F7228"/>
    <w:rsid w:val="00907AC4"/>
    <w:rsid w:val="00907B33"/>
    <w:rsid w:val="00907F2F"/>
    <w:rsid w:val="00916721"/>
    <w:rsid w:val="00922884"/>
    <w:rsid w:val="00924866"/>
    <w:rsid w:val="00926D60"/>
    <w:rsid w:val="0092730A"/>
    <w:rsid w:val="00927D11"/>
    <w:rsid w:val="0093056B"/>
    <w:rsid w:val="00933896"/>
    <w:rsid w:val="00936A8F"/>
    <w:rsid w:val="00936FE0"/>
    <w:rsid w:val="00941206"/>
    <w:rsid w:val="00944C34"/>
    <w:rsid w:val="00947471"/>
    <w:rsid w:val="00953337"/>
    <w:rsid w:val="00953342"/>
    <w:rsid w:val="009566D6"/>
    <w:rsid w:val="00960D58"/>
    <w:rsid w:val="00961E8C"/>
    <w:rsid w:val="00962341"/>
    <w:rsid w:val="00965F3B"/>
    <w:rsid w:val="0097510A"/>
    <w:rsid w:val="009830BB"/>
    <w:rsid w:val="009837A3"/>
    <w:rsid w:val="009879DE"/>
    <w:rsid w:val="00991612"/>
    <w:rsid w:val="00991C93"/>
    <w:rsid w:val="0099635B"/>
    <w:rsid w:val="009A281F"/>
    <w:rsid w:val="009A2B17"/>
    <w:rsid w:val="009A4AD8"/>
    <w:rsid w:val="009B1F9C"/>
    <w:rsid w:val="009B74D6"/>
    <w:rsid w:val="009C2549"/>
    <w:rsid w:val="009C38CE"/>
    <w:rsid w:val="009C5E9A"/>
    <w:rsid w:val="009C6AD6"/>
    <w:rsid w:val="009C7B6B"/>
    <w:rsid w:val="009C7FB3"/>
    <w:rsid w:val="009D0185"/>
    <w:rsid w:val="009D0889"/>
    <w:rsid w:val="009D189F"/>
    <w:rsid w:val="009D379C"/>
    <w:rsid w:val="009D488B"/>
    <w:rsid w:val="009D6097"/>
    <w:rsid w:val="009D6E78"/>
    <w:rsid w:val="009D741E"/>
    <w:rsid w:val="009E118B"/>
    <w:rsid w:val="009E4369"/>
    <w:rsid w:val="009E70CB"/>
    <w:rsid w:val="009F1FEB"/>
    <w:rsid w:val="009F475E"/>
    <w:rsid w:val="009F7C8C"/>
    <w:rsid w:val="00A0009D"/>
    <w:rsid w:val="00A070FF"/>
    <w:rsid w:val="00A1093E"/>
    <w:rsid w:val="00A10E58"/>
    <w:rsid w:val="00A11E44"/>
    <w:rsid w:val="00A13178"/>
    <w:rsid w:val="00A17642"/>
    <w:rsid w:val="00A27FAB"/>
    <w:rsid w:val="00A31B49"/>
    <w:rsid w:val="00A37C50"/>
    <w:rsid w:val="00A40E74"/>
    <w:rsid w:val="00A425B0"/>
    <w:rsid w:val="00A43C41"/>
    <w:rsid w:val="00A47180"/>
    <w:rsid w:val="00A5097A"/>
    <w:rsid w:val="00A5245D"/>
    <w:rsid w:val="00A5317F"/>
    <w:rsid w:val="00A53DAE"/>
    <w:rsid w:val="00A557A5"/>
    <w:rsid w:val="00A5741C"/>
    <w:rsid w:val="00A6161C"/>
    <w:rsid w:val="00A6410A"/>
    <w:rsid w:val="00A641DE"/>
    <w:rsid w:val="00A648B6"/>
    <w:rsid w:val="00A64A92"/>
    <w:rsid w:val="00A70CD9"/>
    <w:rsid w:val="00A71985"/>
    <w:rsid w:val="00A71F69"/>
    <w:rsid w:val="00A7220D"/>
    <w:rsid w:val="00A722F6"/>
    <w:rsid w:val="00A767D1"/>
    <w:rsid w:val="00A80CA8"/>
    <w:rsid w:val="00A86EC5"/>
    <w:rsid w:val="00A9309F"/>
    <w:rsid w:val="00A95D3B"/>
    <w:rsid w:val="00A96DA3"/>
    <w:rsid w:val="00A9795B"/>
    <w:rsid w:val="00AA08AD"/>
    <w:rsid w:val="00AA21DE"/>
    <w:rsid w:val="00AA2F6D"/>
    <w:rsid w:val="00AA50ED"/>
    <w:rsid w:val="00AA6B65"/>
    <w:rsid w:val="00AA7206"/>
    <w:rsid w:val="00AB01F6"/>
    <w:rsid w:val="00AB6AFC"/>
    <w:rsid w:val="00AC1138"/>
    <w:rsid w:val="00AC1FA4"/>
    <w:rsid w:val="00AC35F8"/>
    <w:rsid w:val="00AC7A75"/>
    <w:rsid w:val="00AD13EC"/>
    <w:rsid w:val="00AD2DF4"/>
    <w:rsid w:val="00AD36B8"/>
    <w:rsid w:val="00AD4D82"/>
    <w:rsid w:val="00AE27B7"/>
    <w:rsid w:val="00AE6A94"/>
    <w:rsid w:val="00AF152E"/>
    <w:rsid w:val="00AF3382"/>
    <w:rsid w:val="00AF43F8"/>
    <w:rsid w:val="00AF77D7"/>
    <w:rsid w:val="00B02CD6"/>
    <w:rsid w:val="00B02F72"/>
    <w:rsid w:val="00B1149F"/>
    <w:rsid w:val="00B117A6"/>
    <w:rsid w:val="00B140BA"/>
    <w:rsid w:val="00B1596E"/>
    <w:rsid w:val="00B15A54"/>
    <w:rsid w:val="00B15C7C"/>
    <w:rsid w:val="00B173EC"/>
    <w:rsid w:val="00B227E5"/>
    <w:rsid w:val="00B24D6C"/>
    <w:rsid w:val="00B31B11"/>
    <w:rsid w:val="00B32E47"/>
    <w:rsid w:val="00B33672"/>
    <w:rsid w:val="00B33E15"/>
    <w:rsid w:val="00B40F7D"/>
    <w:rsid w:val="00B451E5"/>
    <w:rsid w:val="00B47B2B"/>
    <w:rsid w:val="00B55B45"/>
    <w:rsid w:val="00B7018B"/>
    <w:rsid w:val="00B707BA"/>
    <w:rsid w:val="00B7080A"/>
    <w:rsid w:val="00B71741"/>
    <w:rsid w:val="00B71F1A"/>
    <w:rsid w:val="00B726E5"/>
    <w:rsid w:val="00B754BE"/>
    <w:rsid w:val="00B76966"/>
    <w:rsid w:val="00B76B73"/>
    <w:rsid w:val="00B83D3D"/>
    <w:rsid w:val="00B8412A"/>
    <w:rsid w:val="00B847C2"/>
    <w:rsid w:val="00B86299"/>
    <w:rsid w:val="00B932A8"/>
    <w:rsid w:val="00BA0F10"/>
    <w:rsid w:val="00BA143F"/>
    <w:rsid w:val="00BB195A"/>
    <w:rsid w:val="00BB4949"/>
    <w:rsid w:val="00BB73B2"/>
    <w:rsid w:val="00BC4A12"/>
    <w:rsid w:val="00BC50E3"/>
    <w:rsid w:val="00BD0B45"/>
    <w:rsid w:val="00BE2AAC"/>
    <w:rsid w:val="00BE2F49"/>
    <w:rsid w:val="00BE56F7"/>
    <w:rsid w:val="00BE6578"/>
    <w:rsid w:val="00C011AD"/>
    <w:rsid w:val="00C10140"/>
    <w:rsid w:val="00C11626"/>
    <w:rsid w:val="00C11ECC"/>
    <w:rsid w:val="00C122BD"/>
    <w:rsid w:val="00C1263F"/>
    <w:rsid w:val="00C165BA"/>
    <w:rsid w:val="00C20FC2"/>
    <w:rsid w:val="00C226E5"/>
    <w:rsid w:val="00C264C6"/>
    <w:rsid w:val="00C27B09"/>
    <w:rsid w:val="00C3608C"/>
    <w:rsid w:val="00C36AAA"/>
    <w:rsid w:val="00C404B3"/>
    <w:rsid w:val="00C5369D"/>
    <w:rsid w:val="00C61917"/>
    <w:rsid w:val="00C61EF8"/>
    <w:rsid w:val="00C66595"/>
    <w:rsid w:val="00C73299"/>
    <w:rsid w:val="00C76921"/>
    <w:rsid w:val="00C76E04"/>
    <w:rsid w:val="00C7746D"/>
    <w:rsid w:val="00C826A5"/>
    <w:rsid w:val="00C839F6"/>
    <w:rsid w:val="00C8773E"/>
    <w:rsid w:val="00C90062"/>
    <w:rsid w:val="00C90669"/>
    <w:rsid w:val="00C92583"/>
    <w:rsid w:val="00C93015"/>
    <w:rsid w:val="00C956AD"/>
    <w:rsid w:val="00CA22DA"/>
    <w:rsid w:val="00CA7383"/>
    <w:rsid w:val="00CB1119"/>
    <w:rsid w:val="00CB1ED4"/>
    <w:rsid w:val="00CB20B5"/>
    <w:rsid w:val="00CB4ADF"/>
    <w:rsid w:val="00CC6796"/>
    <w:rsid w:val="00CD28A1"/>
    <w:rsid w:val="00CD5D29"/>
    <w:rsid w:val="00CD63E6"/>
    <w:rsid w:val="00CE33E9"/>
    <w:rsid w:val="00CE554F"/>
    <w:rsid w:val="00CE55B5"/>
    <w:rsid w:val="00CF4200"/>
    <w:rsid w:val="00D04130"/>
    <w:rsid w:val="00D13E98"/>
    <w:rsid w:val="00D14614"/>
    <w:rsid w:val="00D22456"/>
    <w:rsid w:val="00D3164F"/>
    <w:rsid w:val="00D36EE4"/>
    <w:rsid w:val="00D41A5F"/>
    <w:rsid w:val="00D42D55"/>
    <w:rsid w:val="00D44A1A"/>
    <w:rsid w:val="00D4533A"/>
    <w:rsid w:val="00D501EC"/>
    <w:rsid w:val="00D51BE2"/>
    <w:rsid w:val="00D55D08"/>
    <w:rsid w:val="00D60183"/>
    <w:rsid w:val="00D60338"/>
    <w:rsid w:val="00D60A0A"/>
    <w:rsid w:val="00D63795"/>
    <w:rsid w:val="00D6700A"/>
    <w:rsid w:val="00D70B18"/>
    <w:rsid w:val="00D7291E"/>
    <w:rsid w:val="00D72BCB"/>
    <w:rsid w:val="00D737C4"/>
    <w:rsid w:val="00D81384"/>
    <w:rsid w:val="00D818B6"/>
    <w:rsid w:val="00D827FF"/>
    <w:rsid w:val="00D832DC"/>
    <w:rsid w:val="00D86031"/>
    <w:rsid w:val="00D86932"/>
    <w:rsid w:val="00D87BFC"/>
    <w:rsid w:val="00D90957"/>
    <w:rsid w:val="00D92E0B"/>
    <w:rsid w:val="00DA18D4"/>
    <w:rsid w:val="00DA1BA7"/>
    <w:rsid w:val="00DA2FD8"/>
    <w:rsid w:val="00DA4C86"/>
    <w:rsid w:val="00DB0CA0"/>
    <w:rsid w:val="00DC107B"/>
    <w:rsid w:val="00DC124C"/>
    <w:rsid w:val="00DC3C51"/>
    <w:rsid w:val="00DC7AF1"/>
    <w:rsid w:val="00DD12C6"/>
    <w:rsid w:val="00DD1F8B"/>
    <w:rsid w:val="00DD25A5"/>
    <w:rsid w:val="00DD49A9"/>
    <w:rsid w:val="00DD4CC1"/>
    <w:rsid w:val="00DD6826"/>
    <w:rsid w:val="00DD6C78"/>
    <w:rsid w:val="00DE080C"/>
    <w:rsid w:val="00DE2B37"/>
    <w:rsid w:val="00DE35C6"/>
    <w:rsid w:val="00DE36D4"/>
    <w:rsid w:val="00DE36FF"/>
    <w:rsid w:val="00DF3ABD"/>
    <w:rsid w:val="00DF5032"/>
    <w:rsid w:val="00E00B97"/>
    <w:rsid w:val="00E10380"/>
    <w:rsid w:val="00E10D8E"/>
    <w:rsid w:val="00E1581E"/>
    <w:rsid w:val="00E16417"/>
    <w:rsid w:val="00E16EEC"/>
    <w:rsid w:val="00E17D41"/>
    <w:rsid w:val="00E20100"/>
    <w:rsid w:val="00E2302E"/>
    <w:rsid w:val="00E26EA9"/>
    <w:rsid w:val="00E301B4"/>
    <w:rsid w:val="00E33950"/>
    <w:rsid w:val="00E3668E"/>
    <w:rsid w:val="00E426C9"/>
    <w:rsid w:val="00E436A9"/>
    <w:rsid w:val="00E43BAD"/>
    <w:rsid w:val="00E454D8"/>
    <w:rsid w:val="00E468C3"/>
    <w:rsid w:val="00E55EAA"/>
    <w:rsid w:val="00E608F6"/>
    <w:rsid w:val="00E62D02"/>
    <w:rsid w:val="00E647F3"/>
    <w:rsid w:val="00E65963"/>
    <w:rsid w:val="00E702F5"/>
    <w:rsid w:val="00E80320"/>
    <w:rsid w:val="00E81266"/>
    <w:rsid w:val="00E81D22"/>
    <w:rsid w:val="00E86D05"/>
    <w:rsid w:val="00E91C08"/>
    <w:rsid w:val="00E943CA"/>
    <w:rsid w:val="00E95A98"/>
    <w:rsid w:val="00E97830"/>
    <w:rsid w:val="00EA05E9"/>
    <w:rsid w:val="00EA27EA"/>
    <w:rsid w:val="00EB15C3"/>
    <w:rsid w:val="00EB2B52"/>
    <w:rsid w:val="00EB6381"/>
    <w:rsid w:val="00EC2125"/>
    <w:rsid w:val="00EC4EA1"/>
    <w:rsid w:val="00ED124B"/>
    <w:rsid w:val="00ED18B4"/>
    <w:rsid w:val="00ED1CA1"/>
    <w:rsid w:val="00ED7045"/>
    <w:rsid w:val="00ED77DA"/>
    <w:rsid w:val="00ED7BFD"/>
    <w:rsid w:val="00EE3C6A"/>
    <w:rsid w:val="00EE79CA"/>
    <w:rsid w:val="00EE7F37"/>
    <w:rsid w:val="00EF060A"/>
    <w:rsid w:val="00EF31B0"/>
    <w:rsid w:val="00EF32A9"/>
    <w:rsid w:val="00EF3F53"/>
    <w:rsid w:val="00EF4071"/>
    <w:rsid w:val="00F0331B"/>
    <w:rsid w:val="00F03FD5"/>
    <w:rsid w:val="00F05B9B"/>
    <w:rsid w:val="00F06921"/>
    <w:rsid w:val="00F10DD9"/>
    <w:rsid w:val="00F113B4"/>
    <w:rsid w:val="00F1192A"/>
    <w:rsid w:val="00F20545"/>
    <w:rsid w:val="00F21A7C"/>
    <w:rsid w:val="00F26F0A"/>
    <w:rsid w:val="00F2741F"/>
    <w:rsid w:val="00F354E3"/>
    <w:rsid w:val="00F37903"/>
    <w:rsid w:val="00F40C1E"/>
    <w:rsid w:val="00F4125C"/>
    <w:rsid w:val="00F456FC"/>
    <w:rsid w:val="00F55584"/>
    <w:rsid w:val="00F57626"/>
    <w:rsid w:val="00F60DED"/>
    <w:rsid w:val="00F620F7"/>
    <w:rsid w:val="00F653B9"/>
    <w:rsid w:val="00F665FD"/>
    <w:rsid w:val="00F66B50"/>
    <w:rsid w:val="00F700B5"/>
    <w:rsid w:val="00F71EFC"/>
    <w:rsid w:val="00F75DCF"/>
    <w:rsid w:val="00F75FB3"/>
    <w:rsid w:val="00F823A6"/>
    <w:rsid w:val="00F87C63"/>
    <w:rsid w:val="00F87D91"/>
    <w:rsid w:val="00F87F0C"/>
    <w:rsid w:val="00F90F08"/>
    <w:rsid w:val="00F9351A"/>
    <w:rsid w:val="00F9405C"/>
    <w:rsid w:val="00FB0AD6"/>
    <w:rsid w:val="00FB0EAF"/>
    <w:rsid w:val="00FB2157"/>
    <w:rsid w:val="00FB2392"/>
    <w:rsid w:val="00FC10A4"/>
    <w:rsid w:val="00FC3FA1"/>
    <w:rsid w:val="00FD080B"/>
    <w:rsid w:val="00FD1309"/>
    <w:rsid w:val="00FD2A3E"/>
    <w:rsid w:val="00FD48F5"/>
    <w:rsid w:val="00FE16FF"/>
    <w:rsid w:val="00FE3F71"/>
    <w:rsid w:val="00FE48C7"/>
    <w:rsid w:val="00FE4A2E"/>
    <w:rsid w:val="00FE64BA"/>
    <w:rsid w:val="00FF6B0F"/>
    <w:rsid w:val="00FF6B3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3DC3"/>
  <w15:chartTrackingRefBased/>
  <w15:docId w15:val="{4543A4E8-44F5-4FD6-8C23-321F706B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300E"/>
  </w:style>
  <w:style w:type="paragraph" w:styleId="1">
    <w:name w:val="heading 1"/>
    <w:basedOn w:val="a"/>
    <w:next w:val="a"/>
    <w:link w:val="10"/>
    <w:autoRedefine/>
    <w:uiPriority w:val="9"/>
    <w:qFormat/>
    <w:rsid w:val="00186264"/>
    <w:pPr>
      <w:keepNext/>
      <w:keepLines/>
      <w:spacing w:before="360" w:after="80"/>
      <w:outlineLvl w:val="0"/>
    </w:pPr>
    <w:rPr>
      <w:rFonts w:ascii="Times New Roman" w:eastAsiaTheme="majorEastAsia" w:hAnsi="Times New Roman" w:cstheme="majorBidi"/>
      <w:b/>
      <w:color w:val="000000" w:themeColor="text1"/>
      <w:sz w:val="24"/>
      <w:szCs w:val="40"/>
    </w:rPr>
  </w:style>
  <w:style w:type="paragraph" w:styleId="2">
    <w:name w:val="heading 2"/>
    <w:basedOn w:val="a"/>
    <w:next w:val="a"/>
    <w:link w:val="20"/>
    <w:autoRedefine/>
    <w:uiPriority w:val="9"/>
    <w:semiHidden/>
    <w:unhideWhenUsed/>
    <w:qFormat/>
    <w:rsid w:val="00186264"/>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3">
    <w:name w:val="heading 3"/>
    <w:basedOn w:val="a"/>
    <w:next w:val="a"/>
    <w:link w:val="30"/>
    <w:uiPriority w:val="9"/>
    <w:semiHidden/>
    <w:unhideWhenUsed/>
    <w:qFormat/>
    <w:rsid w:val="001B752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B752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B752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B75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75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75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75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6264"/>
    <w:rPr>
      <w:rFonts w:ascii="Times New Roman" w:eastAsiaTheme="majorEastAsia" w:hAnsi="Times New Roman" w:cstheme="majorBidi"/>
      <w:b/>
      <w:color w:val="000000" w:themeColor="text1"/>
      <w:sz w:val="24"/>
      <w:szCs w:val="40"/>
    </w:rPr>
  </w:style>
  <w:style w:type="character" w:customStyle="1" w:styleId="20">
    <w:name w:val="Заголовок 2 Знак"/>
    <w:basedOn w:val="a0"/>
    <w:link w:val="2"/>
    <w:uiPriority w:val="9"/>
    <w:semiHidden/>
    <w:rsid w:val="00186264"/>
    <w:rPr>
      <w:rFonts w:ascii="Times New Roman" w:eastAsiaTheme="majorEastAsia" w:hAnsi="Times New Roman" w:cstheme="majorBidi"/>
      <w:color w:val="000000" w:themeColor="text1"/>
      <w:sz w:val="28"/>
      <w:szCs w:val="32"/>
    </w:rPr>
  </w:style>
  <w:style w:type="character" w:customStyle="1" w:styleId="30">
    <w:name w:val="Заголовок 3 Знак"/>
    <w:basedOn w:val="a0"/>
    <w:link w:val="3"/>
    <w:uiPriority w:val="9"/>
    <w:semiHidden/>
    <w:rsid w:val="001B752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B752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B752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B75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B752D"/>
    <w:rPr>
      <w:rFonts w:eastAsiaTheme="majorEastAsia" w:cstheme="majorBidi"/>
      <w:color w:val="595959" w:themeColor="text1" w:themeTint="A6"/>
    </w:rPr>
  </w:style>
  <w:style w:type="character" w:customStyle="1" w:styleId="80">
    <w:name w:val="Заголовок 8 Знак"/>
    <w:basedOn w:val="a0"/>
    <w:link w:val="8"/>
    <w:uiPriority w:val="9"/>
    <w:semiHidden/>
    <w:rsid w:val="001B75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B752D"/>
    <w:rPr>
      <w:rFonts w:eastAsiaTheme="majorEastAsia" w:cstheme="majorBidi"/>
      <w:color w:val="272727" w:themeColor="text1" w:themeTint="D8"/>
    </w:rPr>
  </w:style>
  <w:style w:type="paragraph" w:styleId="a3">
    <w:name w:val="Title"/>
    <w:basedOn w:val="a"/>
    <w:next w:val="a"/>
    <w:link w:val="a4"/>
    <w:uiPriority w:val="10"/>
    <w:qFormat/>
    <w:rsid w:val="001B75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B7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52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752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B752D"/>
    <w:pPr>
      <w:spacing w:before="160"/>
      <w:jc w:val="center"/>
    </w:pPr>
    <w:rPr>
      <w:i/>
      <w:iCs/>
      <w:color w:val="404040" w:themeColor="text1" w:themeTint="BF"/>
    </w:rPr>
  </w:style>
  <w:style w:type="character" w:customStyle="1" w:styleId="22">
    <w:name w:val="Цитата 2 Знак"/>
    <w:basedOn w:val="a0"/>
    <w:link w:val="21"/>
    <w:uiPriority w:val="29"/>
    <w:rsid w:val="001B752D"/>
    <w:rPr>
      <w:i/>
      <w:iCs/>
      <w:color w:val="404040" w:themeColor="text1" w:themeTint="BF"/>
    </w:rPr>
  </w:style>
  <w:style w:type="paragraph" w:styleId="a7">
    <w:name w:val="List Paragraph"/>
    <w:basedOn w:val="a"/>
    <w:uiPriority w:val="34"/>
    <w:qFormat/>
    <w:rsid w:val="001B752D"/>
    <w:pPr>
      <w:ind w:left="720"/>
      <w:contextualSpacing/>
    </w:pPr>
  </w:style>
  <w:style w:type="character" w:styleId="a8">
    <w:name w:val="Intense Emphasis"/>
    <w:basedOn w:val="a0"/>
    <w:uiPriority w:val="21"/>
    <w:qFormat/>
    <w:rsid w:val="001B752D"/>
    <w:rPr>
      <w:i/>
      <w:iCs/>
      <w:color w:val="2F5496" w:themeColor="accent1" w:themeShade="BF"/>
    </w:rPr>
  </w:style>
  <w:style w:type="paragraph" w:styleId="a9">
    <w:name w:val="Intense Quote"/>
    <w:basedOn w:val="a"/>
    <w:next w:val="a"/>
    <w:link w:val="aa"/>
    <w:uiPriority w:val="30"/>
    <w:qFormat/>
    <w:rsid w:val="001B7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B752D"/>
    <w:rPr>
      <w:i/>
      <w:iCs/>
      <w:color w:val="2F5496" w:themeColor="accent1" w:themeShade="BF"/>
    </w:rPr>
  </w:style>
  <w:style w:type="character" w:styleId="ab">
    <w:name w:val="Intense Reference"/>
    <w:basedOn w:val="a0"/>
    <w:uiPriority w:val="32"/>
    <w:qFormat/>
    <w:rsid w:val="001B752D"/>
    <w:rPr>
      <w:b/>
      <w:bCs/>
      <w:smallCaps/>
      <w:color w:val="2F5496" w:themeColor="accent1" w:themeShade="BF"/>
      <w:spacing w:val="5"/>
    </w:rPr>
  </w:style>
  <w:style w:type="table" w:styleId="-1">
    <w:name w:val="Grid Table 1 Light"/>
    <w:basedOn w:val="a1"/>
    <w:uiPriority w:val="46"/>
    <w:rsid w:val="00514C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c">
    <w:name w:val="Normal (Web)"/>
    <w:basedOn w:val="a"/>
    <w:uiPriority w:val="99"/>
    <w:semiHidden/>
    <w:unhideWhenUsed/>
    <w:rsid w:val="005629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5DC2-C32E-4F8A-87AF-C1848FFF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16040</Words>
  <Characters>91430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Cliovan</dc:creator>
  <cp:keywords/>
  <dc:description/>
  <cp:lastModifiedBy>User</cp:lastModifiedBy>
  <cp:revision>2</cp:revision>
  <cp:lastPrinted>2025-12-09T07:58:00Z</cp:lastPrinted>
  <dcterms:created xsi:type="dcterms:W3CDTF">2025-12-18T17:10:00Z</dcterms:created>
  <dcterms:modified xsi:type="dcterms:W3CDTF">2025-12-18T17:10:00Z</dcterms:modified>
</cp:coreProperties>
</file>