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c"/>
        <w:tblW w:w="11706" w:type="dxa"/>
        <w:tblInd w:w="-1611" w:type="dxa"/>
        <w:tblLook w:val="04A0" w:firstRow="1" w:lastRow="0" w:firstColumn="1" w:lastColumn="0" w:noHBand="0" w:noVBand="1"/>
      </w:tblPr>
      <w:tblGrid>
        <w:gridCol w:w="534"/>
        <w:gridCol w:w="1549"/>
        <w:gridCol w:w="2029"/>
        <w:gridCol w:w="1436"/>
        <w:gridCol w:w="1816"/>
        <w:gridCol w:w="2002"/>
        <w:gridCol w:w="2340"/>
      </w:tblGrid>
      <w:tr w:rsidR="000810E8" w:rsidRPr="00255CE0" w14:paraId="04DE1565" w14:textId="77777777" w:rsidTr="00EA4515">
        <w:tc>
          <w:tcPr>
            <w:tcW w:w="11706" w:type="dxa"/>
            <w:gridSpan w:val="7"/>
          </w:tcPr>
          <w:p w14:paraId="4D6DB5A3" w14:textId="038A68E0" w:rsidR="00A1107B" w:rsidRPr="00255CE0" w:rsidRDefault="00A1107B" w:rsidP="00A1107B">
            <w:pPr>
              <w:jc w:val="center"/>
              <w:rPr>
                <w:b/>
                <w:bCs/>
              </w:rPr>
            </w:pPr>
            <w:bookmarkStart w:id="0" w:name="_GoBack"/>
            <w:bookmarkEnd w:id="0"/>
            <w:r w:rsidRPr="00255CE0">
              <w:rPr>
                <w:b/>
                <w:bCs/>
                <w:sz w:val="32"/>
                <w:szCs w:val="24"/>
              </w:rPr>
              <w:t>INDICE TABELAR</w:t>
            </w:r>
          </w:p>
        </w:tc>
      </w:tr>
      <w:tr w:rsidR="000810E8" w:rsidRPr="00255CE0" w14:paraId="473BBD85" w14:textId="77777777" w:rsidTr="00EA4515">
        <w:tc>
          <w:tcPr>
            <w:tcW w:w="534" w:type="dxa"/>
          </w:tcPr>
          <w:p w14:paraId="56E77BBD" w14:textId="6B855110" w:rsidR="00A1107B" w:rsidRPr="00255CE0" w:rsidRDefault="00A1107B" w:rsidP="00A1107B">
            <w:pPr>
              <w:jc w:val="center"/>
              <w:rPr>
                <w:b/>
                <w:bCs/>
                <w:sz w:val="24"/>
                <w:szCs w:val="20"/>
              </w:rPr>
            </w:pPr>
            <w:r w:rsidRPr="00255CE0">
              <w:rPr>
                <w:b/>
                <w:bCs/>
                <w:sz w:val="24"/>
                <w:szCs w:val="20"/>
              </w:rPr>
              <w:t>Nr.</w:t>
            </w:r>
          </w:p>
        </w:tc>
        <w:tc>
          <w:tcPr>
            <w:tcW w:w="1549" w:type="dxa"/>
          </w:tcPr>
          <w:p w14:paraId="0982D668" w14:textId="4BEDFF34" w:rsidR="00A1107B" w:rsidRPr="00255CE0" w:rsidRDefault="00A1107B" w:rsidP="00A1107B">
            <w:pPr>
              <w:jc w:val="center"/>
              <w:rPr>
                <w:b/>
                <w:bCs/>
                <w:sz w:val="24"/>
                <w:szCs w:val="20"/>
              </w:rPr>
            </w:pPr>
            <w:r w:rsidRPr="00255CE0">
              <w:rPr>
                <w:b/>
                <w:bCs/>
                <w:sz w:val="24"/>
                <w:szCs w:val="20"/>
              </w:rPr>
              <w:t>Art.</w:t>
            </w:r>
          </w:p>
        </w:tc>
        <w:tc>
          <w:tcPr>
            <w:tcW w:w="2029" w:type="dxa"/>
          </w:tcPr>
          <w:p w14:paraId="7B6817F6" w14:textId="10B63A73" w:rsidR="00A1107B" w:rsidRPr="00255CE0" w:rsidRDefault="00A1107B" w:rsidP="00A1107B">
            <w:pPr>
              <w:jc w:val="center"/>
              <w:rPr>
                <w:b/>
                <w:bCs/>
                <w:sz w:val="24"/>
                <w:szCs w:val="20"/>
              </w:rPr>
            </w:pPr>
            <w:r w:rsidRPr="00255CE0">
              <w:rPr>
                <w:b/>
                <w:bCs/>
                <w:sz w:val="24"/>
                <w:szCs w:val="20"/>
              </w:rPr>
              <w:t>Domeniu</w:t>
            </w:r>
          </w:p>
        </w:tc>
        <w:tc>
          <w:tcPr>
            <w:tcW w:w="1436" w:type="dxa"/>
          </w:tcPr>
          <w:p w14:paraId="636C43CF" w14:textId="6E5D2346" w:rsidR="00A1107B" w:rsidRPr="00255CE0" w:rsidRDefault="00A1107B" w:rsidP="00A1107B">
            <w:pPr>
              <w:jc w:val="center"/>
              <w:rPr>
                <w:b/>
                <w:bCs/>
                <w:sz w:val="24"/>
                <w:szCs w:val="20"/>
              </w:rPr>
            </w:pPr>
            <w:r w:rsidRPr="00255CE0">
              <w:rPr>
                <w:b/>
                <w:bCs/>
                <w:sz w:val="24"/>
                <w:szCs w:val="20"/>
              </w:rPr>
              <w:t>Data, cauza</w:t>
            </w:r>
          </w:p>
        </w:tc>
        <w:tc>
          <w:tcPr>
            <w:tcW w:w="1816" w:type="dxa"/>
          </w:tcPr>
          <w:p w14:paraId="4B723763" w14:textId="1F18535C" w:rsidR="00A1107B" w:rsidRPr="00255CE0" w:rsidRDefault="00A1107B" w:rsidP="00A1107B">
            <w:pPr>
              <w:jc w:val="center"/>
              <w:rPr>
                <w:b/>
                <w:bCs/>
                <w:sz w:val="24"/>
                <w:szCs w:val="20"/>
              </w:rPr>
            </w:pPr>
            <w:r w:rsidRPr="00255CE0">
              <w:rPr>
                <w:b/>
                <w:bCs/>
                <w:sz w:val="24"/>
                <w:szCs w:val="20"/>
              </w:rPr>
              <w:t>Cuvinte-cheie</w:t>
            </w:r>
          </w:p>
        </w:tc>
        <w:tc>
          <w:tcPr>
            <w:tcW w:w="2002" w:type="dxa"/>
          </w:tcPr>
          <w:p w14:paraId="77C3ACF9" w14:textId="71E86E3D" w:rsidR="00A1107B" w:rsidRPr="00255CE0" w:rsidRDefault="00A1107B" w:rsidP="00A1107B">
            <w:pPr>
              <w:jc w:val="center"/>
              <w:rPr>
                <w:b/>
                <w:bCs/>
                <w:sz w:val="24"/>
                <w:szCs w:val="20"/>
              </w:rPr>
            </w:pPr>
            <w:r w:rsidRPr="00255CE0">
              <w:rPr>
                <w:b/>
                <w:bCs/>
                <w:sz w:val="24"/>
                <w:szCs w:val="20"/>
              </w:rPr>
              <w:t>Extras din Hotărâre</w:t>
            </w:r>
          </w:p>
        </w:tc>
        <w:tc>
          <w:tcPr>
            <w:tcW w:w="2340" w:type="dxa"/>
          </w:tcPr>
          <w:p w14:paraId="28CFCEC2" w14:textId="0CC524D7" w:rsidR="00A1107B" w:rsidRPr="00255CE0" w:rsidRDefault="00A1107B" w:rsidP="00A1107B">
            <w:pPr>
              <w:jc w:val="center"/>
              <w:rPr>
                <w:b/>
                <w:bCs/>
                <w:sz w:val="24"/>
                <w:szCs w:val="20"/>
              </w:rPr>
            </w:pPr>
            <w:r w:rsidRPr="00255CE0">
              <w:rPr>
                <w:b/>
                <w:bCs/>
                <w:sz w:val="24"/>
                <w:szCs w:val="20"/>
              </w:rPr>
              <w:t>Apreciere/Satisfacție</w:t>
            </w:r>
          </w:p>
        </w:tc>
      </w:tr>
      <w:tr w:rsidR="000810E8" w:rsidRPr="00255CE0" w14:paraId="6C83DE4D" w14:textId="77777777" w:rsidTr="00EA4515">
        <w:tc>
          <w:tcPr>
            <w:tcW w:w="534" w:type="dxa"/>
          </w:tcPr>
          <w:p w14:paraId="59E27760" w14:textId="384E1854" w:rsidR="00A1107B" w:rsidRPr="00255CE0" w:rsidRDefault="00A1107B" w:rsidP="00A1107B">
            <w:pPr>
              <w:jc w:val="center"/>
              <w:rPr>
                <w:sz w:val="24"/>
                <w:szCs w:val="20"/>
              </w:rPr>
            </w:pPr>
            <w:r w:rsidRPr="00255CE0">
              <w:rPr>
                <w:sz w:val="24"/>
                <w:szCs w:val="20"/>
              </w:rPr>
              <w:t>1</w:t>
            </w:r>
          </w:p>
        </w:tc>
        <w:tc>
          <w:tcPr>
            <w:tcW w:w="1549" w:type="dxa"/>
          </w:tcPr>
          <w:p w14:paraId="600A7278" w14:textId="70CE03F9" w:rsidR="00A1107B" w:rsidRPr="00255CE0" w:rsidRDefault="00A1107B" w:rsidP="00A1107B">
            <w:pPr>
              <w:jc w:val="center"/>
              <w:rPr>
                <w:sz w:val="24"/>
                <w:szCs w:val="20"/>
              </w:rPr>
            </w:pPr>
            <w:r w:rsidRPr="00255CE0">
              <w:rPr>
                <w:sz w:val="24"/>
                <w:szCs w:val="20"/>
              </w:rPr>
              <w:t>Art. 3 – Interzicerea torturii</w:t>
            </w:r>
          </w:p>
        </w:tc>
        <w:tc>
          <w:tcPr>
            <w:tcW w:w="2029" w:type="dxa"/>
          </w:tcPr>
          <w:p w14:paraId="0BD64235" w14:textId="7C8852E4" w:rsidR="00A1107B" w:rsidRPr="00255CE0" w:rsidRDefault="00A1107B" w:rsidP="00A1107B">
            <w:pPr>
              <w:jc w:val="center"/>
              <w:rPr>
                <w:sz w:val="24"/>
                <w:szCs w:val="20"/>
              </w:rPr>
            </w:pPr>
            <w:r w:rsidRPr="00255CE0">
              <w:rPr>
                <w:sz w:val="24"/>
                <w:szCs w:val="20"/>
              </w:rPr>
              <w:t>Urmărire penală ineficientă cu privire</w:t>
            </w:r>
            <w:r w:rsidR="009C59AF" w:rsidRPr="00255CE0">
              <w:rPr>
                <w:sz w:val="24"/>
                <w:szCs w:val="20"/>
              </w:rPr>
              <w:t xml:space="preserve"> la</w:t>
            </w:r>
            <w:r w:rsidRPr="00255CE0">
              <w:rPr>
                <w:sz w:val="24"/>
                <w:szCs w:val="20"/>
              </w:rPr>
              <w:t xml:space="preserve"> rele tratamente în timpul Revoluției Române din 1989</w:t>
            </w:r>
          </w:p>
        </w:tc>
        <w:tc>
          <w:tcPr>
            <w:tcW w:w="1436" w:type="dxa"/>
          </w:tcPr>
          <w:p w14:paraId="35B6B236" w14:textId="2DAEE9B2" w:rsidR="00A1107B" w:rsidRPr="00255CE0" w:rsidRDefault="00A1107B" w:rsidP="00A1107B">
            <w:pPr>
              <w:jc w:val="center"/>
              <w:rPr>
                <w:sz w:val="24"/>
                <w:szCs w:val="20"/>
              </w:rPr>
            </w:pPr>
            <w:r w:rsidRPr="00255CE0">
              <w:rPr>
                <w:sz w:val="24"/>
                <w:szCs w:val="20"/>
              </w:rPr>
              <w:t>16.09.2025, Cantemir c. România</w:t>
            </w:r>
            <w:r w:rsidR="009A3C98">
              <w:rPr>
                <w:sz w:val="24"/>
                <w:szCs w:val="20"/>
              </w:rPr>
              <w:t xml:space="preserve"> [C]</w:t>
            </w:r>
          </w:p>
        </w:tc>
        <w:tc>
          <w:tcPr>
            <w:tcW w:w="1816" w:type="dxa"/>
          </w:tcPr>
          <w:p w14:paraId="3CDF9BFB" w14:textId="19479AFD" w:rsidR="00A1107B" w:rsidRPr="00255CE0" w:rsidRDefault="00CE6198" w:rsidP="00AD5C97">
            <w:pPr>
              <w:jc w:val="center"/>
              <w:rPr>
                <w:sz w:val="24"/>
                <w:szCs w:val="20"/>
              </w:rPr>
            </w:pPr>
            <w:r w:rsidRPr="00255CE0">
              <w:rPr>
                <w:sz w:val="24"/>
                <w:szCs w:val="20"/>
              </w:rPr>
              <w:t>Revoluția Română din 1989, demonstrații anti-comuniste, r</w:t>
            </w:r>
            <w:r w:rsidR="00806BBA" w:rsidRPr="00255CE0">
              <w:rPr>
                <w:sz w:val="24"/>
                <w:szCs w:val="20"/>
              </w:rPr>
              <w:t>ele tratamente</w:t>
            </w:r>
            <w:r w:rsidRPr="00255CE0">
              <w:rPr>
                <w:sz w:val="24"/>
                <w:szCs w:val="20"/>
              </w:rPr>
              <w:t>, miliția capitalei, penitenciarul Jilava</w:t>
            </w:r>
            <w:r w:rsidR="00315093" w:rsidRPr="00255CE0">
              <w:rPr>
                <w:sz w:val="24"/>
                <w:szCs w:val="20"/>
              </w:rPr>
              <w:t>,</w:t>
            </w:r>
            <w:r w:rsidR="00652058" w:rsidRPr="00255CE0">
              <w:rPr>
                <w:sz w:val="24"/>
                <w:szCs w:val="20"/>
              </w:rPr>
              <w:t xml:space="preserve"> </w:t>
            </w:r>
            <w:r w:rsidR="00315093" w:rsidRPr="00255CE0">
              <w:rPr>
                <w:sz w:val="24"/>
                <w:szCs w:val="20"/>
              </w:rPr>
              <w:t>lipsa urmăririi penale efective</w:t>
            </w:r>
          </w:p>
        </w:tc>
        <w:tc>
          <w:tcPr>
            <w:tcW w:w="2002" w:type="dxa"/>
          </w:tcPr>
          <w:p w14:paraId="20A9E9E7" w14:textId="4DF999FF" w:rsidR="00EB0C26" w:rsidRPr="00255CE0" w:rsidRDefault="00AD5C97" w:rsidP="00AD5C97">
            <w:pPr>
              <w:jc w:val="both"/>
              <w:rPr>
                <w:sz w:val="24"/>
                <w:szCs w:val="20"/>
              </w:rPr>
            </w:pPr>
            <w:r w:rsidRPr="00255CE0">
              <w:rPr>
                <w:sz w:val="24"/>
                <w:szCs w:val="20"/>
              </w:rPr>
              <w:t xml:space="preserve">- </w:t>
            </w:r>
            <w:r w:rsidR="00EB0C26" w:rsidRPr="00255CE0">
              <w:rPr>
                <w:sz w:val="24"/>
                <w:szCs w:val="20"/>
              </w:rPr>
              <w:t>CtEDO a constatat că aceasta este competentă să examineze plângerile referitoare la ineficacitatea urmăririlor penale</w:t>
            </w:r>
            <w:r w:rsidRPr="00255CE0">
              <w:rPr>
                <w:sz w:val="24"/>
                <w:szCs w:val="20"/>
              </w:rPr>
              <w:t xml:space="preserve"> privind evenimentele din decembrie 1989 din România atunci când majoritatea procedurilor referitoare la o cauză și cele mai importante măsuri procedurale au fost efectuate după intrarea în vigoare a CoEDO în ceea ce privește România.</w:t>
            </w:r>
          </w:p>
          <w:p w14:paraId="72C17CA4" w14:textId="2BECB47D" w:rsidR="00AD5C97" w:rsidRPr="00255CE0" w:rsidRDefault="00AD5C97" w:rsidP="00AD5C97">
            <w:pPr>
              <w:jc w:val="both"/>
              <w:rPr>
                <w:sz w:val="24"/>
                <w:szCs w:val="20"/>
              </w:rPr>
            </w:pPr>
            <w:r w:rsidRPr="00255CE0">
              <w:rPr>
                <w:sz w:val="24"/>
                <w:szCs w:val="20"/>
              </w:rPr>
              <w:t xml:space="preserve">- CtEDO și-a definit competența </w:t>
            </w:r>
            <w:r w:rsidRPr="00255CE0">
              <w:rPr>
                <w:i/>
                <w:iCs/>
                <w:sz w:val="24"/>
                <w:szCs w:val="20"/>
              </w:rPr>
              <w:t xml:space="preserve">ratione temporis </w:t>
            </w:r>
            <w:r w:rsidRPr="00255CE0">
              <w:rPr>
                <w:sz w:val="24"/>
                <w:szCs w:val="20"/>
              </w:rPr>
              <w:t xml:space="preserve">deja în cauze similare precum </w:t>
            </w:r>
            <w:r w:rsidRPr="00255CE0">
              <w:rPr>
                <w:i/>
                <w:iCs/>
                <w:sz w:val="24"/>
                <w:szCs w:val="20"/>
              </w:rPr>
              <w:t>Asociația „21 Decembrie 1989” și alții c. România</w:t>
            </w:r>
            <w:r w:rsidRPr="00255CE0">
              <w:rPr>
                <w:sz w:val="24"/>
                <w:szCs w:val="20"/>
              </w:rPr>
              <w:t xml:space="preserve"> și </w:t>
            </w:r>
            <w:r w:rsidRPr="00255CE0">
              <w:rPr>
                <w:i/>
                <w:iCs/>
                <w:sz w:val="24"/>
                <w:szCs w:val="20"/>
              </w:rPr>
              <w:t>Mocanu și alții c. România [MC].</w:t>
            </w:r>
          </w:p>
          <w:p w14:paraId="696FC845" w14:textId="310C1482" w:rsidR="00AD5C97" w:rsidRPr="00255CE0" w:rsidRDefault="00AD5C97" w:rsidP="00AD5C97">
            <w:pPr>
              <w:jc w:val="both"/>
              <w:rPr>
                <w:sz w:val="24"/>
                <w:szCs w:val="20"/>
              </w:rPr>
            </w:pPr>
          </w:p>
        </w:tc>
        <w:tc>
          <w:tcPr>
            <w:tcW w:w="2340" w:type="dxa"/>
          </w:tcPr>
          <w:p w14:paraId="6F20B054" w14:textId="7D1DDC83" w:rsidR="00315093" w:rsidRPr="00255CE0" w:rsidRDefault="00315093" w:rsidP="00006C71">
            <w:pPr>
              <w:jc w:val="center"/>
              <w:rPr>
                <w:sz w:val="24"/>
                <w:szCs w:val="20"/>
              </w:rPr>
            </w:pPr>
            <w:r w:rsidRPr="00255CE0">
              <w:rPr>
                <w:sz w:val="24"/>
                <w:szCs w:val="20"/>
              </w:rPr>
              <w:t>Încălcarea art. 3 sub aspect procedural</w:t>
            </w:r>
          </w:p>
          <w:p w14:paraId="0062E1FA" w14:textId="63A29450" w:rsidR="00315093" w:rsidRPr="00255CE0" w:rsidRDefault="00315093" w:rsidP="00AD5C97">
            <w:pPr>
              <w:jc w:val="center"/>
              <w:rPr>
                <w:sz w:val="24"/>
                <w:szCs w:val="20"/>
              </w:rPr>
            </w:pPr>
            <w:r w:rsidRPr="00255CE0">
              <w:rPr>
                <w:sz w:val="24"/>
                <w:szCs w:val="20"/>
              </w:rPr>
              <w:t>12.500 EUR (prejudiciu moral)</w:t>
            </w:r>
          </w:p>
        </w:tc>
      </w:tr>
      <w:tr w:rsidR="000810E8" w:rsidRPr="00255CE0" w14:paraId="4CB4FFFD" w14:textId="77777777" w:rsidTr="00EA4515">
        <w:tc>
          <w:tcPr>
            <w:tcW w:w="534" w:type="dxa"/>
          </w:tcPr>
          <w:p w14:paraId="6988C452" w14:textId="5D5F0BDA" w:rsidR="00A1107B" w:rsidRPr="00255CE0" w:rsidRDefault="0017299D" w:rsidP="00D23A0B">
            <w:pPr>
              <w:jc w:val="center"/>
              <w:rPr>
                <w:sz w:val="24"/>
                <w:szCs w:val="20"/>
              </w:rPr>
            </w:pPr>
            <w:r>
              <w:rPr>
                <w:sz w:val="24"/>
                <w:szCs w:val="20"/>
              </w:rPr>
              <w:t>2</w:t>
            </w:r>
          </w:p>
        </w:tc>
        <w:tc>
          <w:tcPr>
            <w:tcW w:w="1549" w:type="dxa"/>
          </w:tcPr>
          <w:p w14:paraId="3EE063C4" w14:textId="1BE20A4E" w:rsidR="00A1107B" w:rsidRPr="00255CE0" w:rsidRDefault="000D2927" w:rsidP="000D2927">
            <w:pPr>
              <w:jc w:val="center"/>
              <w:rPr>
                <w:sz w:val="24"/>
                <w:szCs w:val="20"/>
              </w:rPr>
            </w:pPr>
            <w:r w:rsidRPr="00255CE0">
              <w:rPr>
                <w:sz w:val="24"/>
                <w:szCs w:val="20"/>
              </w:rPr>
              <w:t xml:space="preserve">Art. 5, alin. </w:t>
            </w:r>
            <w:r>
              <w:rPr>
                <w:sz w:val="24"/>
                <w:szCs w:val="20"/>
              </w:rPr>
              <w:t xml:space="preserve">1, </w:t>
            </w:r>
            <w:r w:rsidR="00D23A0B" w:rsidRPr="00255CE0">
              <w:rPr>
                <w:sz w:val="24"/>
                <w:szCs w:val="20"/>
              </w:rPr>
              <w:t xml:space="preserve">Art. 5, alin. </w:t>
            </w:r>
            <w:r w:rsidR="002A76B6" w:rsidRPr="00255CE0">
              <w:rPr>
                <w:sz w:val="24"/>
                <w:szCs w:val="20"/>
              </w:rPr>
              <w:t>4</w:t>
            </w:r>
            <w:r w:rsidR="00D23A0B" w:rsidRPr="00255CE0">
              <w:rPr>
                <w:sz w:val="24"/>
                <w:szCs w:val="20"/>
              </w:rPr>
              <w:t xml:space="preserve"> – Dreptul la libertate și la siguranță</w:t>
            </w:r>
          </w:p>
        </w:tc>
        <w:tc>
          <w:tcPr>
            <w:tcW w:w="2029" w:type="dxa"/>
          </w:tcPr>
          <w:p w14:paraId="41603836" w14:textId="525663F8" w:rsidR="00A1107B" w:rsidRPr="00255CE0" w:rsidRDefault="00D23A0B" w:rsidP="00D23A0B">
            <w:pPr>
              <w:jc w:val="center"/>
              <w:rPr>
                <w:sz w:val="24"/>
                <w:szCs w:val="20"/>
              </w:rPr>
            </w:pPr>
            <w:r w:rsidRPr="00255CE0">
              <w:rPr>
                <w:sz w:val="24"/>
                <w:szCs w:val="20"/>
              </w:rPr>
              <w:t>Dreptul la libertate</w:t>
            </w:r>
            <w:r w:rsidR="00D63B9D" w:rsidRPr="00255CE0">
              <w:rPr>
                <w:sz w:val="24"/>
                <w:szCs w:val="20"/>
              </w:rPr>
              <w:t xml:space="preserve">, </w:t>
            </w:r>
            <w:r w:rsidRPr="00255CE0">
              <w:rPr>
                <w:sz w:val="24"/>
                <w:szCs w:val="20"/>
              </w:rPr>
              <w:t>control judiciar al detenției</w:t>
            </w:r>
            <w:r w:rsidR="00D63B9D" w:rsidRPr="00255CE0">
              <w:rPr>
                <w:sz w:val="24"/>
                <w:szCs w:val="20"/>
              </w:rPr>
              <w:t xml:space="preserve">, </w:t>
            </w:r>
            <w:r w:rsidRPr="00255CE0">
              <w:rPr>
                <w:sz w:val="24"/>
                <w:szCs w:val="20"/>
              </w:rPr>
              <w:t>proceduri de azil</w:t>
            </w:r>
            <w:r w:rsidR="00D63B9D" w:rsidRPr="00255CE0">
              <w:rPr>
                <w:sz w:val="24"/>
                <w:szCs w:val="20"/>
              </w:rPr>
              <w:t xml:space="preserve">, </w:t>
            </w:r>
            <w:r w:rsidRPr="00255CE0">
              <w:rPr>
                <w:sz w:val="24"/>
                <w:szCs w:val="20"/>
              </w:rPr>
              <w:t>cerința de celeritate</w:t>
            </w:r>
          </w:p>
        </w:tc>
        <w:tc>
          <w:tcPr>
            <w:tcW w:w="1436" w:type="dxa"/>
          </w:tcPr>
          <w:p w14:paraId="23593993" w14:textId="7D7FBFCF" w:rsidR="00A1107B" w:rsidRPr="00255CE0" w:rsidRDefault="00D23A0B" w:rsidP="00D23A0B">
            <w:pPr>
              <w:jc w:val="center"/>
              <w:rPr>
                <w:sz w:val="24"/>
                <w:szCs w:val="20"/>
              </w:rPr>
            </w:pPr>
            <w:r w:rsidRPr="00255CE0">
              <w:rPr>
                <w:sz w:val="24"/>
                <w:szCs w:val="20"/>
              </w:rPr>
              <w:t>02.07.2024 (definitivă 10.07.2024), K.A. c. Cipru</w:t>
            </w:r>
            <w:r w:rsidR="009A3C98">
              <w:rPr>
                <w:sz w:val="24"/>
                <w:szCs w:val="20"/>
              </w:rPr>
              <w:t xml:space="preserve"> [C]</w:t>
            </w:r>
          </w:p>
        </w:tc>
        <w:tc>
          <w:tcPr>
            <w:tcW w:w="1816" w:type="dxa"/>
          </w:tcPr>
          <w:p w14:paraId="31027A98" w14:textId="2EDAC857" w:rsidR="00A1107B" w:rsidRPr="00255CE0" w:rsidRDefault="00D23A0B" w:rsidP="00D23A0B">
            <w:pPr>
              <w:jc w:val="center"/>
              <w:rPr>
                <w:sz w:val="24"/>
                <w:szCs w:val="20"/>
              </w:rPr>
            </w:pPr>
            <w:r w:rsidRPr="00255CE0">
              <w:rPr>
                <w:sz w:val="24"/>
                <w:szCs w:val="20"/>
              </w:rPr>
              <w:t>Detenția solicitantului de azil</w:t>
            </w:r>
            <w:r w:rsidR="00D63B9D" w:rsidRPr="00255CE0">
              <w:rPr>
                <w:sz w:val="24"/>
                <w:szCs w:val="20"/>
              </w:rPr>
              <w:t>,</w:t>
            </w:r>
            <w:r w:rsidRPr="00255CE0">
              <w:rPr>
                <w:sz w:val="24"/>
                <w:szCs w:val="20"/>
              </w:rPr>
              <w:t xml:space="preserve"> control judiciar</w:t>
            </w:r>
            <w:r w:rsidR="00D63B9D" w:rsidRPr="00255CE0">
              <w:rPr>
                <w:sz w:val="24"/>
                <w:szCs w:val="20"/>
              </w:rPr>
              <w:t>,</w:t>
            </w:r>
            <w:r w:rsidRPr="00255CE0">
              <w:rPr>
                <w:sz w:val="24"/>
                <w:szCs w:val="20"/>
              </w:rPr>
              <w:t xml:space="preserve"> cerința de celeritate</w:t>
            </w:r>
            <w:r w:rsidR="00D63B9D" w:rsidRPr="00255CE0">
              <w:rPr>
                <w:sz w:val="24"/>
                <w:szCs w:val="20"/>
              </w:rPr>
              <w:t>,</w:t>
            </w:r>
            <w:r w:rsidRPr="00255CE0">
              <w:rPr>
                <w:sz w:val="24"/>
                <w:szCs w:val="20"/>
              </w:rPr>
              <w:t xml:space="preserve"> proceduri de apel</w:t>
            </w:r>
            <w:r w:rsidR="00D63B9D" w:rsidRPr="00255CE0">
              <w:rPr>
                <w:sz w:val="24"/>
                <w:szCs w:val="20"/>
              </w:rPr>
              <w:t>,</w:t>
            </w:r>
            <w:r w:rsidRPr="00255CE0">
              <w:rPr>
                <w:sz w:val="24"/>
                <w:szCs w:val="20"/>
              </w:rPr>
              <w:t xml:space="preserve"> inacțiune imputabilă statului</w:t>
            </w:r>
            <w:r w:rsidR="00D63B9D" w:rsidRPr="00255CE0">
              <w:rPr>
                <w:sz w:val="24"/>
                <w:szCs w:val="20"/>
              </w:rPr>
              <w:t>,</w:t>
            </w:r>
            <w:r w:rsidRPr="00255CE0">
              <w:rPr>
                <w:sz w:val="24"/>
                <w:szCs w:val="20"/>
              </w:rPr>
              <w:t xml:space="preserve"> securitate națională</w:t>
            </w:r>
          </w:p>
        </w:tc>
        <w:tc>
          <w:tcPr>
            <w:tcW w:w="2002" w:type="dxa"/>
          </w:tcPr>
          <w:p w14:paraId="6B5ACEA2" w14:textId="57BBB45A" w:rsidR="002A76B6" w:rsidRPr="00255CE0" w:rsidRDefault="002A76B6" w:rsidP="006C0B77">
            <w:pPr>
              <w:jc w:val="both"/>
              <w:rPr>
                <w:sz w:val="24"/>
                <w:szCs w:val="20"/>
              </w:rPr>
            </w:pPr>
            <w:r w:rsidRPr="00255CE0">
              <w:rPr>
                <w:sz w:val="24"/>
                <w:szCs w:val="20"/>
              </w:rPr>
              <w:t>– CtEDO a reținut că dreptul garantat de art. 5, alin. 4 impune ca legalitatea detenției să fie examinată cu promptitudine, standardul fiind deosebit de strict atunci când este în joc libertatea personală.</w:t>
            </w:r>
          </w:p>
          <w:p w14:paraId="33C67E08" w14:textId="77777777" w:rsidR="002A76B6" w:rsidRPr="00255CE0" w:rsidRDefault="002A76B6" w:rsidP="006C0B77">
            <w:pPr>
              <w:jc w:val="both"/>
              <w:rPr>
                <w:sz w:val="24"/>
                <w:szCs w:val="20"/>
              </w:rPr>
            </w:pPr>
            <w:r w:rsidRPr="00255CE0">
              <w:rPr>
                <w:sz w:val="24"/>
                <w:szCs w:val="20"/>
              </w:rPr>
              <w:lastRenderedPageBreak/>
              <w:t>– A subliniat că această garanție continuă să fie relevantă chiar și după eliberare, întrucât fostul deținut are un interes legitim în obținerea unei decizii asupra legalității detenției.</w:t>
            </w:r>
          </w:p>
          <w:p w14:paraId="26D35D76" w14:textId="77777777" w:rsidR="002A76B6" w:rsidRPr="00255CE0" w:rsidRDefault="002A76B6" w:rsidP="006C0B77">
            <w:pPr>
              <w:jc w:val="both"/>
              <w:rPr>
                <w:sz w:val="24"/>
                <w:szCs w:val="20"/>
              </w:rPr>
            </w:pPr>
            <w:r w:rsidRPr="00255CE0">
              <w:rPr>
                <w:sz w:val="24"/>
                <w:szCs w:val="20"/>
              </w:rPr>
              <w:t>– CtEDO a constatat că, în cadrul procedurii de apel împotriva hotărârii care confirmase detenția, a existat o perioadă de inacțiune de peste nouă luni, fără niciun progres procedural semnificativ, perioadă imputabilă în întregime autorităților.</w:t>
            </w:r>
          </w:p>
          <w:p w14:paraId="4725E9EB" w14:textId="3B33D3C1" w:rsidR="00A1107B" w:rsidRPr="00255CE0" w:rsidRDefault="002A76B6" w:rsidP="006C0B77">
            <w:pPr>
              <w:jc w:val="both"/>
              <w:rPr>
                <w:sz w:val="24"/>
                <w:szCs w:val="20"/>
              </w:rPr>
            </w:pPr>
            <w:r w:rsidRPr="00255CE0">
              <w:rPr>
                <w:sz w:val="24"/>
                <w:szCs w:val="20"/>
              </w:rPr>
              <w:t>– Curtea a apreciat că complexitatea cauzei sau considerentele de securitate națională nu pot justifica o asemenea lipsă de diligență. În absența oricărei contribuții a reclamantului la întârziere, procedura de apel nu a respectat cerința de celeritate prevăzută de art. 5, alin. 4.</w:t>
            </w:r>
          </w:p>
        </w:tc>
        <w:tc>
          <w:tcPr>
            <w:tcW w:w="2340" w:type="dxa"/>
          </w:tcPr>
          <w:p w14:paraId="7DCC4D76" w14:textId="3DC11F10" w:rsidR="0017299D" w:rsidRDefault="0017299D" w:rsidP="002A76B6">
            <w:pPr>
              <w:jc w:val="center"/>
              <w:rPr>
                <w:sz w:val="24"/>
                <w:szCs w:val="20"/>
              </w:rPr>
            </w:pPr>
            <w:r>
              <w:rPr>
                <w:sz w:val="24"/>
                <w:szCs w:val="20"/>
              </w:rPr>
              <w:lastRenderedPageBreak/>
              <w:t>Nu a fost constatată încălcarea art. 5, alin. 1</w:t>
            </w:r>
          </w:p>
          <w:p w14:paraId="52776B91" w14:textId="05969B31" w:rsidR="002A76B6" w:rsidRPr="00255CE0" w:rsidRDefault="002A76B6" w:rsidP="002A76B6">
            <w:pPr>
              <w:jc w:val="center"/>
              <w:rPr>
                <w:sz w:val="24"/>
                <w:szCs w:val="20"/>
              </w:rPr>
            </w:pPr>
            <w:r w:rsidRPr="00255CE0">
              <w:rPr>
                <w:sz w:val="24"/>
                <w:szCs w:val="20"/>
              </w:rPr>
              <w:t>Încălcarea art. 5, alin. 4</w:t>
            </w:r>
          </w:p>
          <w:p w14:paraId="170410EF" w14:textId="77777777" w:rsidR="00A1107B" w:rsidRPr="00255CE0" w:rsidRDefault="002A76B6" w:rsidP="002A76B6">
            <w:pPr>
              <w:jc w:val="center"/>
              <w:rPr>
                <w:sz w:val="24"/>
                <w:szCs w:val="20"/>
              </w:rPr>
            </w:pPr>
            <w:r w:rsidRPr="00255CE0">
              <w:rPr>
                <w:sz w:val="24"/>
                <w:szCs w:val="20"/>
              </w:rPr>
              <w:t>2.000 EUR (prejudiciu moral)</w:t>
            </w:r>
          </w:p>
          <w:p w14:paraId="148BA7E7" w14:textId="341B1246" w:rsidR="002A76B6" w:rsidRPr="00255CE0" w:rsidRDefault="002A76B6" w:rsidP="002A76B6">
            <w:pPr>
              <w:jc w:val="center"/>
              <w:rPr>
                <w:sz w:val="24"/>
                <w:szCs w:val="20"/>
              </w:rPr>
            </w:pPr>
            <w:r w:rsidRPr="00255CE0">
              <w:rPr>
                <w:sz w:val="24"/>
                <w:szCs w:val="20"/>
              </w:rPr>
              <w:t>Alte pretenții respinse</w:t>
            </w:r>
          </w:p>
        </w:tc>
      </w:tr>
      <w:tr w:rsidR="000810E8" w:rsidRPr="00255CE0" w14:paraId="3F02F359" w14:textId="77777777" w:rsidTr="00EA4515">
        <w:tc>
          <w:tcPr>
            <w:tcW w:w="534" w:type="dxa"/>
          </w:tcPr>
          <w:p w14:paraId="0418B3E3" w14:textId="6B78E5EC" w:rsidR="002A76B6" w:rsidRPr="00255CE0" w:rsidRDefault="0017299D" w:rsidP="00D23A0B">
            <w:pPr>
              <w:jc w:val="center"/>
              <w:rPr>
                <w:sz w:val="24"/>
                <w:szCs w:val="20"/>
              </w:rPr>
            </w:pPr>
            <w:r>
              <w:rPr>
                <w:sz w:val="24"/>
                <w:szCs w:val="20"/>
              </w:rPr>
              <w:t>3</w:t>
            </w:r>
          </w:p>
        </w:tc>
        <w:tc>
          <w:tcPr>
            <w:tcW w:w="1549" w:type="dxa"/>
          </w:tcPr>
          <w:p w14:paraId="640AF785" w14:textId="77777777" w:rsidR="002A76B6" w:rsidRDefault="00D63B9D" w:rsidP="00D23A0B">
            <w:pPr>
              <w:jc w:val="center"/>
              <w:rPr>
                <w:sz w:val="24"/>
                <w:szCs w:val="20"/>
              </w:rPr>
            </w:pPr>
            <w:r w:rsidRPr="00255CE0">
              <w:rPr>
                <w:sz w:val="24"/>
                <w:szCs w:val="20"/>
              </w:rPr>
              <w:t>Art. 6, alin. 1 – Dreptul la un proces echitabil</w:t>
            </w:r>
          </w:p>
          <w:p w14:paraId="5D0E2F83" w14:textId="77777777" w:rsidR="000D2927" w:rsidRDefault="000D2927" w:rsidP="00D23A0B">
            <w:pPr>
              <w:jc w:val="center"/>
              <w:rPr>
                <w:sz w:val="24"/>
                <w:szCs w:val="20"/>
              </w:rPr>
            </w:pPr>
            <w:r>
              <w:rPr>
                <w:sz w:val="24"/>
                <w:szCs w:val="20"/>
              </w:rPr>
              <w:lastRenderedPageBreak/>
              <w:t>Art. 13 – Dreptul la un remediu efectiv</w:t>
            </w:r>
          </w:p>
          <w:p w14:paraId="42B9C935" w14:textId="58A71146" w:rsidR="000D2927" w:rsidRPr="00255CE0" w:rsidRDefault="000D2927" w:rsidP="00D23A0B">
            <w:pPr>
              <w:jc w:val="center"/>
              <w:rPr>
                <w:sz w:val="24"/>
                <w:szCs w:val="20"/>
              </w:rPr>
            </w:pPr>
            <w:r>
              <w:rPr>
                <w:sz w:val="24"/>
                <w:szCs w:val="20"/>
              </w:rPr>
              <w:t>Art. 1 din Prot. nr. 1 – Protecția proprietății</w:t>
            </w:r>
          </w:p>
        </w:tc>
        <w:tc>
          <w:tcPr>
            <w:tcW w:w="2029" w:type="dxa"/>
          </w:tcPr>
          <w:p w14:paraId="6C68C381" w14:textId="2F1F87D0" w:rsidR="002A76B6" w:rsidRPr="00255CE0" w:rsidRDefault="00D63B9D" w:rsidP="00D23A0B">
            <w:pPr>
              <w:jc w:val="center"/>
              <w:rPr>
                <w:sz w:val="24"/>
                <w:szCs w:val="20"/>
              </w:rPr>
            </w:pPr>
            <w:r w:rsidRPr="00255CE0">
              <w:rPr>
                <w:sz w:val="24"/>
                <w:szCs w:val="20"/>
              </w:rPr>
              <w:lastRenderedPageBreak/>
              <w:t xml:space="preserve">Acces la justiție, costuri de procedură, remedii pentru durata </w:t>
            </w:r>
            <w:r w:rsidRPr="00255CE0">
              <w:rPr>
                <w:sz w:val="24"/>
                <w:szCs w:val="20"/>
              </w:rPr>
              <w:lastRenderedPageBreak/>
              <w:t>excesivă, proporționalitate</w:t>
            </w:r>
          </w:p>
        </w:tc>
        <w:tc>
          <w:tcPr>
            <w:tcW w:w="1436" w:type="dxa"/>
          </w:tcPr>
          <w:p w14:paraId="0A21101F" w14:textId="48DCE159" w:rsidR="002A76B6" w:rsidRPr="00255CE0" w:rsidRDefault="00D63B9D" w:rsidP="00D23A0B">
            <w:pPr>
              <w:jc w:val="center"/>
              <w:rPr>
                <w:sz w:val="24"/>
                <w:szCs w:val="20"/>
              </w:rPr>
            </w:pPr>
            <w:r w:rsidRPr="00255CE0">
              <w:rPr>
                <w:sz w:val="24"/>
                <w:szCs w:val="20"/>
              </w:rPr>
              <w:lastRenderedPageBreak/>
              <w:t xml:space="preserve">15.10.2024 (definitivă 17.03.2025), </w:t>
            </w:r>
            <w:r w:rsidRPr="00255CE0">
              <w:rPr>
                <w:sz w:val="24"/>
                <w:szCs w:val="20"/>
              </w:rPr>
              <w:lastRenderedPageBreak/>
              <w:t>Moskalj c. Croația</w:t>
            </w:r>
            <w:r w:rsidR="009A3C98">
              <w:rPr>
                <w:sz w:val="24"/>
                <w:szCs w:val="20"/>
              </w:rPr>
              <w:t xml:space="preserve"> [C]</w:t>
            </w:r>
          </w:p>
        </w:tc>
        <w:tc>
          <w:tcPr>
            <w:tcW w:w="1816" w:type="dxa"/>
          </w:tcPr>
          <w:p w14:paraId="31742A3D" w14:textId="75CCFA1D" w:rsidR="002A76B6" w:rsidRPr="00255CE0" w:rsidRDefault="00D63B9D" w:rsidP="00D23A0B">
            <w:pPr>
              <w:jc w:val="center"/>
              <w:rPr>
                <w:sz w:val="24"/>
                <w:szCs w:val="20"/>
              </w:rPr>
            </w:pPr>
            <w:r w:rsidRPr="00255CE0">
              <w:rPr>
                <w:sz w:val="24"/>
                <w:szCs w:val="20"/>
              </w:rPr>
              <w:lastRenderedPageBreak/>
              <w:t xml:space="preserve">Acces la instanță, costuri de judecată, remedii pentru </w:t>
            </w:r>
            <w:r w:rsidRPr="00255CE0">
              <w:rPr>
                <w:sz w:val="24"/>
                <w:szCs w:val="20"/>
              </w:rPr>
              <w:lastRenderedPageBreak/>
              <w:t>durata procedurilor, Curtea Constituțională, sarcină financiară excesivă, proporționalitate</w:t>
            </w:r>
          </w:p>
        </w:tc>
        <w:tc>
          <w:tcPr>
            <w:tcW w:w="2002" w:type="dxa"/>
          </w:tcPr>
          <w:p w14:paraId="74C7C780" w14:textId="23C98D49" w:rsidR="00D63B9D" w:rsidRPr="00255CE0" w:rsidRDefault="00D63B9D" w:rsidP="00D63B9D">
            <w:pPr>
              <w:jc w:val="both"/>
              <w:rPr>
                <w:sz w:val="24"/>
                <w:szCs w:val="20"/>
              </w:rPr>
            </w:pPr>
            <w:r w:rsidRPr="00255CE0">
              <w:rPr>
                <w:sz w:val="24"/>
                <w:szCs w:val="20"/>
              </w:rPr>
              <w:lastRenderedPageBreak/>
              <w:t xml:space="preserve">– CtEDO a reținut că refuzul Curții Constituționale de a acorda </w:t>
            </w:r>
            <w:r w:rsidRPr="00255CE0">
              <w:rPr>
                <w:sz w:val="24"/>
                <w:szCs w:val="20"/>
              </w:rPr>
              <w:lastRenderedPageBreak/>
              <w:t xml:space="preserve">reclamantei costurile reprezentării juridice, coroborat cu imposibilitatea de a recupera costurile suportate în cadrul remediilor pentru durata excesivă a procedurilor, a constituit o restrângere a dreptului de acces la o instanță. </w:t>
            </w:r>
          </w:p>
          <w:p w14:paraId="664B1E37" w14:textId="77777777" w:rsidR="00D63B9D" w:rsidRPr="00255CE0" w:rsidRDefault="00D63B9D" w:rsidP="00D63B9D">
            <w:pPr>
              <w:jc w:val="both"/>
              <w:rPr>
                <w:sz w:val="24"/>
                <w:szCs w:val="20"/>
              </w:rPr>
            </w:pPr>
            <w:r w:rsidRPr="00255CE0">
              <w:rPr>
                <w:sz w:val="24"/>
                <w:szCs w:val="20"/>
              </w:rPr>
              <w:t xml:space="preserve">– A subliniat că impunerea unei sarcini financiare considerabile după încheierea procedurilor poate afecta însăși substanța acestui drept, în special atunci când costurile suportate depășesc cuantumul despăgubirii acordate. </w:t>
            </w:r>
          </w:p>
          <w:p w14:paraId="2D27F0EA" w14:textId="77777777" w:rsidR="00D63B9D" w:rsidRPr="00255CE0" w:rsidRDefault="00D63B9D" w:rsidP="00D63B9D">
            <w:pPr>
              <w:jc w:val="both"/>
              <w:rPr>
                <w:sz w:val="24"/>
                <w:szCs w:val="20"/>
              </w:rPr>
            </w:pPr>
            <w:r w:rsidRPr="00255CE0">
              <w:rPr>
                <w:sz w:val="24"/>
                <w:szCs w:val="20"/>
              </w:rPr>
              <w:t xml:space="preserve">– CtEDO a apreciat că o asemenea situație face litigiul lipsit de utilitate practică și transformă dreptul de acces la justiție într-unul teoretic și iluzoriu, fiind necesare motive deosebit de serioase pentru a o justifica. Instanțele de judecată naționale nu au oferit motive suficient de convingătoare pentru refuzul acordării costurilor, </w:t>
            </w:r>
            <w:r w:rsidRPr="00255CE0">
              <w:rPr>
                <w:sz w:val="24"/>
                <w:szCs w:val="20"/>
              </w:rPr>
              <w:lastRenderedPageBreak/>
              <w:t>limitându-se la aplicarea formală a normelor interne.</w:t>
            </w:r>
          </w:p>
          <w:p w14:paraId="508529BF" w14:textId="5C58ED24" w:rsidR="002A76B6" w:rsidRPr="00255CE0" w:rsidRDefault="00D63B9D" w:rsidP="00D63B9D">
            <w:pPr>
              <w:jc w:val="both"/>
              <w:rPr>
                <w:sz w:val="24"/>
                <w:szCs w:val="20"/>
              </w:rPr>
            </w:pPr>
            <w:r w:rsidRPr="00255CE0">
              <w:rPr>
                <w:sz w:val="24"/>
                <w:szCs w:val="20"/>
              </w:rPr>
              <w:t>– CtEDO a mai stabilit că reprezentarea prin avocat în fața Curții Constituționale și în cadrul remediilor privind durata procedurilor nu poate fi considerată inutilă sau nejustificată, având în vedere complexitatea normelor aplicabile și cerințele procedurale. Restrângerea, deși urmărea un scop legitim și era previzibilă, nu a fost proporțională.</w:t>
            </w:r>
          </w:p>
        </w:tc>
        <w:tc>
          <w:tcPr>
            <w:tcW w:w="2340" w:type="dxa"/>
          </w:tcPr>
          <w:p w14:paraId="47759493" w14:textId="1C4E9F8C" w:rsidR="002A76B6" w:rsidRDefault="00D63B9D" w:rsidP="002A76B6">
            <w:pPr>
              <w:jc w:val="center"/>
              <w:rPr>
                <w:sz w:val="24"/>
                <w:szCs w:val="20"/>
              </w:rPr>
            </w:pPr>
            <w:r w:rsidRPr="00255CE0">
              <w:rPr>
                <w:sz w:val="24"/>
                <w:szCs w:val="20"/>
              </w:rPr>
              <w:lastRenderedPageBreak/>
              <w:t>Încălcarea art. 6, alin. 1</w:t>
            </w:r>
          </w:p>
          <w:p w14:paraId="5BBAE840" w14:textId="36647A79" w:rsidR="000D2927" w:rsidRDefault="000D2927" w:rsidP="002A76B6">
            <w:pPr>
              <w:jc w:val="center"/>
              <w:rPr>
                <w:sz w:val="24"/>
                <w:szCs w:val="20"/>
              </w:rPr>
            </w:pPr>
            <w:r>
              <w:rPr>
                <w:sz w:val="24"/>
                <w:szCs w:val="20"/>
              </w:rPr>
              <w:lastRenderedPageBreak/>
              <w:t>Lipsa necesității de examinare a plângerii referitoare la art. 13</w:t>
            </w:r>
          </w:p>
          <w:p w14:paraId="241B1B5C" w14:textId="49823C47" w:rsidR="000D2927" w:rsidRPr="00255CE0" w:rsidRDefault="000D2927" w:rsidP="002A76B6">
            <w:pPr>
              <w:jc w:val="center"/>
              <w:rPr>
                <w:sz w:val="24"/>
                <w:szCs w:val="20"/>
              </w:rPr>
            </w:pPr>
            <w:r>
              <w:rPr>
                <w:sz w:val="24"/>
                <w:szCs w:val="20"/>
              </w:rPr>
              <w:t>Lipsa necesității de examinare a plângerii referitoare la art. 1 din Prot. nr. 1</w:t>
            </w:r>
          </w:p>
          <w:p w14:paraId="67F6676C" w14:textId="77777777" w:rsidR="00D63B9D" w:rsidRPr="00255CE0" w:rsidRDefault="00D63B9D" w:rsidP="002A76B6">
            <w:pPr>
              <w:jc w:val="center"/>
              <w:rPr>
                <w:sz w:val="24"/>
                <w:szCs w:val="20"/>
              </w:rPr>
            </w:pPr>
            <w:r w:rsidRPr="00255CE0">
              <w:rPr>
                <w:sz w:val="24"/>
                <w:szCs w:val="20"/>
              </w:rPr>
              <w:t>1.016 EUR (prejudiciu material)</w:t>
            </w:r>
          </w:p>
          <w:p w14:paraId="35B4F4B5" w14:textId="77777777" w:rsidR="00D63B9D" w:rsidRPr="00255CE0" w:rsidRDefault="00D63B9D" w:rsidP="002A76B6">
            <w:pPr>
              <w:jc w:val="center"/>
              <w:rPr>
                <w:sz w:val="24"/>
                <w:szCs w:val="20"/>
              </w:rPr>
            </w:pPr>
            <w:r w:rsidRPr="00255CE0">
              <w:rPr>
                <w:sz w:val="24"/>
                <w:szCs w:val="20"/>
              </w:rPr>
              <w:t>3.000 EUR (prejudiciu moral)</w:t>
            </w:r>
          </w:p>
          <w:p w14:paraId="1F9F5815" w14:textId="4E5355DD" w:rsidR="00D63B9D" w:rsidRPr="00255CE0" w:rsidRDefault="00D63B9D" w:rsidP="002A76B6">
            <w:pPr>
              <w:jc w:val="center"/>
              <w:rPr>
                <w:sz w:val="24"/>
                <w:szCs w:val="20"/>
              </w:rPr>
            </w:pPr>
            <w:r w:rsidRPr="00255CE0">
              <w:rPr>
                <w:sz w:val="24"/>
                <w:szCs w:val="20"/>
              </w:rPr>
              <w:t>865 EUR (</w:t>
            </w:r>
            <w:r w:rsidR="00EA4515">
              <w:rPr>
                <w:sz w:val="24"/>
                <w:szCs w:val="20"/>
              </w:rPr>
              <w:t>costuri și cheltuieli</w:t>
            </w:r>
            <w:r w:rsidRPr="00255CE0">
              <w:rPr>
                <w:sz w:val="24"/>
                <w:szCs w:val="20"/>
              </w:rPr>
              <w:t>)</w:t>
            </w:r>
          </w:p>
        </w:tc>
      </w:tr>
      <w:tr w:rsidR="000810E8" w:rsidRPr="00255CE0" w14:paraId="65A87268" w14:textId="77777777" w:rsidTr="00EA4515">
        <w:tc>
          <w:tcPr>
            <w:tcW w:w="534" w:type="dxa"/>
          </w:tcPr>
          <w:p w14:paraId="098EC7FD" w14:textId="2656ECE7" w:rsidR="00D63B9D" w:rsidRPr="00255CE0" w:rsidRDefault="0017299D" w:rsidP="00D23A0B">
            <w:pPr>
              <w:jc w:val="center"/>
              <w:rPr>
                <w:sz w:val="24"/>
                <w:szCs w:val="20"/>
              </w:rPr>
            </w:pPr>
            <w:r>
              <w:rPr>
                <w:sz w:val="24"/>
                <w:szCs w:val="20"/>
              </w:rPr>
              <w:lastRenderedPageBreak/>
              <w:t>4</w:t>
            </w:r>
          </w:p>
        </w:tc>
        <w:tc>
          <w:tcPr>
            <w:tcW w:w="1549" w:type="dxa"/>
          </w:tcPr>
          <w:p w14:paraId="459AEC82" w14:textId="36550BD5" w:rsidR="00D63B9D" w:rsidRPr="00255CE0" w:rsidRDefault="00A976D4" w:rsidP="00D23A0B">
            <w:pPr>
              <w:jc w:val="center"/>
              <w:rPr>
                <w:sz w:val="24"/>
                <w:szCs w:val="20"/>
              </w:rPr>
            </w:pPr>
            <w:r w:rsidRPr="00255CE0">
              <w:rPr>
                <w:sz w:val="24"/>
                <w:szCs w:val="20"/>
              </w:rPr>
              <w:t>Art. 2 – Dreptul la viață</w:t>
            </w:r>
          </w:p>
        </w:tc>
        <w:tc>
          <w:tcPr>
            <w:tcW w:w="2029" w:type="dxa"/>
          </w:tcPr>
          <w:p w14:paraId="63700886" w14:textId="3A28B8C8" w:rsidR="00D63B9D" w:rsidRPr="00255CE0" w:rsidRDefault="004F4E9A" w:rsidP="00D23A0B">
            <w:pPr>
              <w:jc w:val="center"/>
              <w:rPr>
                <w:sz w:val="24"/>
                <w:szCs w:val="20"/>
              </w:rPr>
            </w:pPr>
            <w:r w:rsidRPr="00255CE0">
              <w:rPr>
                <w:sz w:val="24"/>
                <w:szCs w:val="20"/>
              </w:rPr>
              <w:t>Dreptul la viață, folosirea forței letale de către agenți ai statului, obligația de investigare efectivă</w:t>
            </w:r>
          </w:p>
        </w:tc>
        <w:tc>
          <w:tcPr>
            <w:tcW w:w="1436" w:type="dxa"/>
          </w:tcPr>
          <w:p w14:paraId="5C03D997" w14:textId="0CEE47F2" w:rsidR="00D63B9D" w:rsidRPr="00255CE0" w:rsidRDefault="004F4E9A" w:rsidP="00D23A0B">
            <w:pPr>
              <w:jc w:val="center"/>
              <w:rPr>
                <w:sz w:val="24"/>
                <w:szCs w:val="20"/>
              </w:rPr>
            </w:pPr>
            <w:r w:rsidRPr="00255CE0">
              <w:rPr>
                <w:sz w:val="24"/>
                <w:szCs w:val="20"/>
              </w:rPr>
              <w:t>10.11.2024 (definitivă 10.01.2025), Bagirova c. Azerbaidjan</w:t>
            </w:r>
            <w:r w:rsidR="009A3C98">
              <w:rPr>
                <w:sz w:val="24"/>
                <w:szCs w:val="20"/>
              </w:rPr>
              <w:t xml:space="preserve"> [C]</w:t>
            </w:r>
          </w:p>
        </w:tc>
        <w:tc>
          <w:tcPr>
            <w:tcW w:w="1816" w:type="dxa"/>
          </w:tcPr>
          <w:p w14:paraId="1ABF58B0" w14:textId="4C8267E8" w:rsidR="00D63B9D" w:rsidRPr="00255CE0" w:rsidRDefault="004F4E9A" w:rsidP="00D23A0B">
            <w:pPr>
              <w:jc w:val="center"/>
              <w:rPr>
                <w:sz w:val="24"/>
                <w:szCs w:val="20"/>
              </w:rPr>
            </w:pPr>
            <w:r w:rsidRPr="00255CE0">
              <w:rPr>
                <w:sz w:val="24"/>
                <w:szCs w:val="20"/>
              </w:rPr>
              <w:t>Folosirea forței letale, sarcina probei, necesitate absolută, proporționalitate investigație efectivă, securitate națională</w:t>
            </w:r>
          </w:p>
        </w:tc>
        <w:tc>
          <w:tcPr>
            <w:tcW w:w="2002" w:type="dxa"/>
          </w:tcPr>
          <w:p w14:paraId="1C74DB17" w14:textId="2776F89F" w:rsidR="004F4E9A" w:rsidRPr="00255CE0" w:rsidRDefault="004F4E9A" w:rsidP="00D63B9D">
            <w:pPr>
              <w:jc w:val="both"/>
              <w:rPr>
                <w:sz w:val="24"/>
                <w:szCs w:val="20"/>
              </w:rPr>
            </w:pPr>
            <w:r w:rsidRPr="00255CE0">
              <w:rPr>
                <w:sz w:val="24"/>
                <w:szCs w:val="20"/>
              </w:rPr>
              <w:t>– CtEDO a reiterat că, în cazurile de folosire a forței letale de către agenți ai statului, sarcina probei revine Guvernului, care trebuie să demonstreze, dincolo de orice îndoială rezonabilă</w:t>
            </w:r>
            <w:r w:rsidR="00F47AE5" w:rsidRPr="00255CE0">
              <w:rPr>
                <w:sz w:val="24"/>
                <w:szCs w:val="20"/>
              </w:rPr>
              <w:t xml:space="preserve"> </w:t>
            </w:r>
            <w:r w:rsidRPr="00255CE0">
              <w:rPr>
                <w:sz w:val="24"/>
                <w:szCs w:val="20"/>
              </w:rPr>
              <w:t xml:space="preserve">că forța utilizată nu a depășit ceea ce era absolut necesar și a fost strict proporțională cu scopurile prevăzute de art. 2, alin. 2. </w:t>
            </w:r>
          </w:p>
          <w:p w14:paraId="0FB36B23" w14:textId="77777777" w:rsidR="004F4E9A" w:rsidRPr="00255CE0" w:rsidRDefault="004F4E9A" w:rsidP="00D63B9D">
            <w:pPr>
              <w:jc w:val="both"/>
              <w:rPr>
                <w:sz w:val="24"/>
                <w:szCs w:val="20"/>
              </w:rPr>
            </w:pPr>
            <w:r w:rsidRPr="00255CE0">
              <w:rPr>
                <w:sz w:val="24"/>
                <w:szCs w:val="20"/>
              </w:rPr>
              <w:t xml:space="preserve">– Sub aspect procedural, CtEDO a constatat </w:t>
            </w:r>
            <w:r w:rsidRPr="00255CE0">
              <w:rPr>
                <w:sz w:val="24"/>
                <w:szCs w:val="20"/>
              </w:rPr>
              <w:lastRenderedPageBreak/>
              <w:t xml:space="preserve">deficiențe grave și cumulative ale investigației: neefectuarea unor examinări criminalistice esențiale (amprente, armele agenților statului), neidentificarea și neaudirea agenților implicați, lipsa oricărei analize a rezultatelor autopsiei și neclarificarea contradicțiilor dintre probele disponibile. Aceste omisiuni au subminat capacitatea urmăririi penale de a stabili circumstanțele exacte ale decesului și au creat aparența unei lipse de responsabilitate a forțelor de securitate. În consecință, CtEDO a stabilit că investigația a fost inadecvată, încălcând latura procedurală a art. 2. </w:t>
            </w:r>
          </w:p>
          <w:p w14:paraId="39BA21D1" w14:textId="24B5B6C9" w:rsidR="00D63B9D" w:rsidRPr="00255CE0" w:rsidRDefault="004F4E9A" w:rsidP="00D63B9D">
            <w:pPr>
              <w:jc w:val="both"/>
              <w:rPr>
                <w:sz w:val="24"/>
                <w:szCs w:val="20"/>
              </w:rPr>
            </w:pPr>
            <w:r w:rsidRPr="00255CE0">
              <w:rPr>
                <w:sz w:val="24"/>
                <w:szCs w:val="20"/>
              </w:rPr>
              <w:t xml:space="preserve">– Sub aspect substanțial, CtEDO a apreciat că, în lipsa unei investigații efective și a unor explicații convingătoare din partea Guvernului, nu se poate considera dovedit că folosirea forței </w:t>
            </w:r>
            <w:r w:rsidRPr="00255CE0">
              <w:rPr>
                <w:sz w:val="24"/>
                <w:szCs w:val="20"/>
              </w:rPr>
              <w:lastRenderedPageBreak/>
              <w:t>letale a fost justificată sau strict necesară. Guvernul nu a reușit să răstoarne prezumțiile rezultate din probele existente, iar CtEDO nu a fost convinsă că decesul a rezultat dintr-o utilizare legitimă a forței.</w:t>
            </w:r>
          </w:p>
        </w:tc>
        <w:tc>
          <w:tcPr>
            <w:tcW w:w="2340" w:type="dxa"/>
          </w:tcPr>
          <w:p w14:paraId="073DAF76" w14:textId="41028BCC" w:rsidR="00D63B9D" w:rsidRPr="00255CE0" w:rsidRDefault="00A976D4" w:rsidP="002A76B6">
            <w:pPr>
              <w:jc w:val="center"/>
              <w:rPr>
                <w:sz w:val="24"/>
                <w:szCs w:val="20"/>
              </w:rPr>
            </w:pPr>
            <w:r w:rsidRPr="00255CE0">
              <w:rPr>
                <w:sz w:val="24"/>
                <w:szCs w:val="20"/>
              </w:rPr>
              <w:lastRenderedPageBreak/>
              <w:t>Încălcarea art. 2 sub aspect aspect substanțial și procedural</w:t>
            </w:r>
          </w:p>
          <w:p w14:paraId="54EDA9B1" w14:textId="06565366" w:rsidR="004F4E9A" w:rsidRPr="00255CE0" w:rsidRDefault="004F4E9A" w:rsidP="002A76B6">
            <w:pPr>
              <w:jc w:val="center"/>
              <w:rPr>
                <w:sz w:val="24"/>
                <w:szCs w:val="20"/>
              </w:rPr>
            </w:pPr>
            <w:r w:rsidRPr="00255CE0">
              <w:rPr>
                <w:sz w:val="24"/>
                <w:szCs w:val="20"/>
              </w:rPr>
              <w:t>30.000 EUR (prejudiciu moral)</w:t>
            </w:r>
          </w:p>
          <w:p w14:paraId="3EAD9F79" w14:textId="02B8AECA" w:rsidR="004F4E9A" w:rsidRPr="00255CE0" w:rsidRDefault="004F4E9A" w:rsidP="002A76B6">
            <w:pPr>
              <w:jc w:val="center"/>
              <w:rPr>
                <w:sz w:val="24"/>
                <w:szCs w:val="20"/>
              </w:rPr>
            </w:pPr>
            <w:r w:rsidRPr="00255CE0">
              <w:rPr>
                <w:sz w:val="24"/>
                <w:szCs w:val="20"/>
              </w:rPr>
              <w:t>2.000 EUR (</w:t>
            </w:r>
            <w:r w:rsidR="00EA4515">
              <w:rPr>
                <w:sz w:val="24"/>
                <w:szCs w:val="20"/>
              </w:rPr>
              <w:t xml:space="preserve">costuri și </w:t>
            </w:r>
            <w:r w:rsidRPr="00255CE0">
              <w:rPr>
                <w:sz w:val="24"/>
                <w:szCs w:val="20"/>
              </w:rPr>
              <w:t>cheltuieli)</w:t>
            </w:r>
          </w:p>
          <w:p w14:paraId="34B02C83" w14:textId="05FB31F5" w:rsidR="00A976D4" w:rsidRPr="00255CE0" w:rsidRDefault="00A976D4" w:rsidP="002A76B6">
            <w:pPr>
              <w:jc w:val="center"/>
              <w:rPr>
                <w:sz w:val="24"/>
                <w:szCs w:val="20"/>
              </w:rPr>
            </w:pPr>
          </w:p>
        </w:tc>
      </w:tr>
      <w:tr w:rsidR="000810E8" w:rsidRPr="00255CE0" w14:paraId="20023528" w14:textId="77777777" w:rsidTr="00EA4515">
        <w:tc>
          <w:tcPr>
            <w:tcW w:w="534" w:type="dxa"/>
          </w:tcPr>
          <w:p w14:paraId="42B07B68" w14:textId="603D1A47" w:rsidR="00F47AE5" w:rsidRPr="00255CE0" w:rsidRDefault="0017299D" w:rsidP="00D23A0B">
            <w:pPr>
              <w:jc w:val="center"/>
              <w:rPr>
                <w:sz w:val="24"/>
                <w:szCs w:val="20"/>
              </w:rPr>
            </w:pPr>
            <w:r>
              <w:rPr>
                <w:sz w:val="24"/>
                <w:szCs w:val="20"/>
              </w:rPr>
              <w:lastRenderedPageBreak/>
              <w:t>5</w:t>
            </w:r>
          </w:p>
        </w:tc>
        <w:tc>
          <w:tcPr>
            <w:tcW w:w="1549" w:type="dxa"/>
          </w:tcPr>
          <w:p w14:paraId="077B1E53" w14:textId="5594125F" w:rsidR="00F47AE5" w:rsidRPr="00255CE0" w:rsidRDefault="00F47AE5" w:rsidP="00D23A0B">
            <w:pPr>
              <w:jc w:val="center"/>
              <w:rPr>
                <w:sz w:val="24"/>
                <w:szCs w:val="20"/>
              </w:rPr>
            </w:pPr>
            <w:r w:rsidRPr="00255CE0">
              <w:rPr>
                <w:sz w:val="24"/>
                <w:szCs w:val="20"/>
              </w:rPr>
              <w:t>Art. 3 – Interzicerea torturii</w:t>
            </w:r>
          </w:p>
        </w:tc>
        <w:tc>
          <w:tcPr>
            <w:tcW w:w="2029" w:type="dxa"/>
          </w:tcPr>
          <w:p w14:paraId="19470BF4" w14:textId="2E9D9DED" w:rsidR="00F47AE5" w:rsidRPr="00255CE0" w:rsidRDefault="00356D36" w:rsidP="00D23A0B">
            <w:pPr>
              <w:jc w:val="center"/>
              <w:rPr>
                <w:sz w:val="24"/>
                <w:szCs w:val="20"/>
              </w:rPr>
            </w:pPr>
            <w:r w:rsidRPr="00255CE0">
              <w:rPr>
                <w:sz w:val="24"/>
                <w:szCs w:val="20"/>
              </w:rPr>
              <w:t>Tratament inuman și degradant, detenție, măsuri de securitate în penitenciar, condiții de detenție</w:t>
            </w:r>
          </w:p>
        </w:tc>
        <w:tc>
          <w:tcPr>
            <w:tcW w:w="1436" w:type="dxa"/>
          </w:tcPr>
          <w:p w14:paraId="55A25326" w14:textId="12656F1A" w:rsidR="00F47AE5" w:rsidRPr="00255CE0" w:rsidRDefault="00356D36" w:rsidP="00D23A0B">
            <w:pPr>
              <w:jc w:val="center"/>
              <w:rPr>
                <w:sz w:val="24"/>
                <w:szCs w:val="20"/>
              </w:rPr>
            </w:pPr>
            <w:r w:rsidRPr="00255CE0">
              <w:rPr>
                <w:sz w:val="24"/>
                <w:szCs w:val="20"/>
              </w:rPr>
              <w:t>14.11.2023 (definitivă 14.02.2024), Vukušić c. Croația</w:t>
            </w:r>
            <w:r w:rsidR="009A3C98">
              <w:rPr>
                <w:sz w:val="24"/>
                <w:szCs w:val="20"/>
              </w:rPr>
              <w:t xml:space="preserve"> [C]</w:t>
            </w:r>
          </w:p>
        </w:tc>
        <w:tc>
          <w:tcPr>
            <w:tcW w:w="1816" w:type="dxa"/>
          </w:tcPr>
          <w:p w14:paraId="4F5CCBE5" w14:textId="150003A6" w:rsidR="00F47AE5" w:rsidRPr="00255CE0" w:rsidRDefault="00356D36" w:rsidP="00D23A0B">
            <w:pPr>
              <w:jc w:val="center"/>
              <w:rPr>
                <w:sz w:val="24"/>
                <w:szCs w:val="20"/>
              </w:rPr>
            </w:pPr>
            <w:r w:rsidRPr="00255CE0">
              <w:rPr>
                <w:sz w:val="24"/>
                <w:szCs w:val="20"/>
              </w:rPr>
              <w:t>Celulă securizată, tratament punitive, lipsirea de îmbrăcăminte, iluminare permanentă, imobilizare, condiții de detenție, spațiu personal insuficient</w:t>
            </w:r>
          </w:p>
        </w:tc>
        <w:tc>
          <w:tcPr>
            <w:tcW w:w="2002" w:type="dxa"/>
          </w:tcPr>
          <w:p w14:paraId="4DF3AB26" w14:textId="77777777" w:rsidR="00356D36" w:rsidRPr="00255CE0" w:rsidRDefault="00356D36" w:rsidP="00D63B9D">
            <w:pPr>
              <w:jc w:val="both"/>
              <w:rPr>
                <w:sz w:val="24"/>
                <w:szCs w:val="20"/>
              </w:rPr>
            </w:pPr>
            <w:r w:rsidRPr="00255CE0">
              <w:rPr>
                <w:sz w:val="24"/>
                <w:szCs w:val="20"/>
              </w:rPr>
              <w:t xml:space="preserve">– CtEDO a reiterat că persoanele private de libertate se află într-o poziție de vulnerabilitate, iar statul are obligația pozitivă de a se asigura că modalitatea de executare a detenției nu le supune unor suferințe care depășesc nivelul inevitabil inerent detenției. Deși plasarea unui deținut agitat într-o celulă securizată fără obiecte periculoase poate fi justificată inițial, CtEDO a stabilit că menținerea acestei măsuri pe perioade prelungite (12 zile și ulterior 5 zile) indică un scop punitiv, incompatibil cu art. 3. </w:t>
            </w:r>
          </w:p>
          <w:p w14:paraId="3A0BEC19" w14:textId="77777777" w:rsidR="00356D36" w:rsidRPr="00255CE0" w:rsidRDefault="00356D36" w:rsidP="00D63B9D">
            <w:pPr>
              <w:jc w:val="both"/>
              <w:rPr>
                <w:sz w:val="24"/>
                <w:szCs w:val="20"/>
              </w:rPr>
            </w:pPr>
            <w:r w:rsidRPr="00255CE0">
              <w:rPr>
                <w:sz w:val="24"/>
                <w:szCs w:val="20"/>
              </w:rPr>
              <w:t xml:space="preserve">– CtEDO a reținut că lipsirea de îmbrăcăminte, menținerea luminii aprinse </w:t>
            </w:r>
            <w:r w:rsidRPr="00255CE0">
              <w:rPr>
                <w:sz w:val="24"/>
                <w:szCs w:val="20"/>
              </w:rPr>
              <w:lastRenderedPageBreak/>
              <w:t xml:space="preserve">permanent, precum și imobilizarea mâinilor și gleznelor timp de patru zile, în condițiile în care deținutul se afla deja într-un spațiu securizat, nu erau necesare și au agravat situația de vulnerabilitate a reclamantului. </w:t>
            </w:r>
          </w:p>
          <w:p w14:paraId="7E1D5090" w14:textId="77777777" w:rsidR="00356D36" w:rsidRPr="00255CE0" w:rsidRDefault="00356D36" w:rsidP="00D63B9D">
            <w:pPr>
              <w:jc w:val="both"/>
              <w:rPr>
                <w:sz w:val="24"/>
                <w:szCs w:val="20"/>
              </w:rPr>
            </w:pPr>
            <w:r w:rsidRPr="00255CE0">
              <w:rPr>
                <w:sz w:val="24"/>
                <w:szCs w:val="20"/>
              </w:rPr>
              <w:t xml:space="preserve">– De asemenea, CtEDO a observat că măsura de imobilizare a fost aplicată contrar dreptului intern, care limita durata acesteia. </w:t>
            </w:r>
          </w:p>
          <w:p w14:paraId="69E6E1D5" w14:textId="77777777" w:rsidR="00356D36" w:rsidRPr="00255CE0" w:rsidRDefault="00356D36" w:rsidP="00D63B9D">
            <w:pPr>
              <w:jc w:val="both"/>
              <w:rPr>
                <w:sz w:val="24"/>
                <w:szCs w:val="20"/>
              </w:rPr>
            </w:pPr>
            <w:r w:rsidRPr="00255CE0">
              <w:rPr>
                <w:sz w:val="24"/>
                <w:szCs w:val="20"/>
              </w:rPr>
              <w:t xml:space="preserve">– În ceea ce privește condițiile generale de detenție, CtEDO a subliniat că lipsa gravă de spațiu personal, analizată cumulativ cu deficiențe de igienă și regim, este un factor determinant pentru calificarea tratamentului drept degradant. </w:t>
            </w:r>
          </w:p>
          <w:p w14:paraId="3606EA08" w14:textId="1DB10972" w:rsidR="00F47AE5" w:rsidRPr="00255CE0" w:rsidRDefault="00356D36" w:rsidP="00D63B9D">
            <w:pPr>
              <w:jc w:val="both"/>
              <w:rPr>
                <w:sz w:val="24"/>
                <w:szCs w:val="20"/>
              </w:rPr>
            </w:pPr>
            <w:r w:rsidRPr="00255CE0">
              <w:rPr>
                <w:sz w:val="24"/>
                <w:szCs w:val="20"/>
              </w:rPr>
              <w:t>– Având în vedere jurisprudența constantă în cauze similare, CtEDO a concluzionat că atât plasarea prelungită în celula securizată, cât și condițiile de detenție, au atins pragul de gravitate impus de art. 3.</w:t>
            </w:r>
          </w:p>
        </w:tc>
        <w:tc>
          <w:tcPr>
            <w:tcW w:w="2340" w:type="dxa"/>
          </w:tcPr>
          <w:p w14:paraId="171CCCDC" w14:textId="77777777" w:rsidR="00F47AE5" w:rsidRPr="00255CE0" w:rsidRDefault="00356D36" w:rsidP="002A76B6">
            <w:pPr>
              <w:jc w:val="center"/>
              <w:rPr>
                <w:sz w:val="24"/>
                <w:szCs w:val="20"/>
              </w:rPr>
            </w:pPr>
            <w:r w:rsidRPr="00255CE0">
              <w:rPr>
                <w:sz w:val="24"/>
                <w:szCs w:val="20"/>
              </w:rPr>
              <w:lastRenderedPageBreak/>
              <w:t>Încălcarea art. 3 sub aspect substanțial</w:t>
            </w:r>
          </w:p>
          <w:p w14:paraId="533F5634" w14:textId="77777777" w:rsidR="00356D36" w:rsidRPr="00255CE0" w:rsidRDefault="00356D36" w:rsidP="002A76B6">
            <w:pPr>
              <w:jc w:val="center"/>
              <w:rPr>
                <w:sz w:val="24"/>
                <w:szCs w:val="20"/>
              </w:rPr>
            </w:pPr>
            <w:r w:rsidRPr="00255CE0">
              <w:rPr>
                <w:sz w:val="24"/>
                <w:szCs w:val="20"/>
              </w:rPr>
              <w:t>15.000 EUR (prejudiciu moral)</w:t>
            </w:r>
          </w:p>
          <w:p w14:paraId="424D0694" w14:textId="188508EC" w:rsidR="00356D36" w:rsidRPr="00255CE0" w:rsidRDefault="00356D36" w:rsidP="002A76B6">
            <w:pPr>
              <w:jc w:val="center"/>
              <w:rPr>
                <w:sz w:val="24"/>
                <w:szCs w:val="20"/>
              </w:rPr>
            </w:pPr>
            <w:r w:rsidRPr="00255CE0">
              <w:rPr>
                <w:sz w:val="24"/>
                <w:szCs w:val="20"/>
              </w:rPr>
              <w:t>4.000 EUR (</w:t>
            </w:r>
            <w:r w:rsidR="00EA4515">
              <w:rPr>
                <w:sz w:val="24"/>
                <w:szCs w:val="20"/>
              </w:rPr>
              <w:t xml:space="preserve">costuri și </w:t>
            </w:r>
            <w:r w:rsidRPr="00255CE0">
              <w:rPr>
                <w:sz w:val="24"/>
                <w:szCs w:val="20"/>
              </w:rPr>
              <w:t>cheltuieli)</w:t>
            </w:r>
          </w:p>
        </w:tc>
      </w:tr>
      <w:tr w:rsidR="0095454C" w:rsidRPr="00255CE0" w14:paraId="3A78283A" w14:textId="77777777" w:rsidTr="00EA4515">
        <w:tc>
          <w:tcPr>
            <w:tcW w:w="534" w:type="dxa"/>
          </w:tcPr>
          <w:p w14:paraId="15B55B77" w14:textId="049D068A" w:rsidR="0095454C" w:rsidRPr="00255CE0" w:rsidRDefault="0017299D" w:rsidP="0095454C">
            <w:pPr>
              <w:jc w:val="center"/>
              <w:rPr>
                <w:sz w:val="24"/>
                <w:szCs w:val="20"/>
              </w:rPr>
            </w:pPr>
            <w:r>
              <w:rPr>
                <w:sz w:val="24"/>
                <w:szCs w:val="20"/>
              </w:rPr>
              <w:t>6</w:t>
            </w:r>
          </w:p>
        </w:tc>
        <w:tc>
          <w:tcPr>
            <w:tcW w:w="1549" w:type="dxa"/>
          </w:tcPr>
          <w:p w14:paraId="44FECB27" w14:textId="77777777" w:rsidR="0095454C" w:rsidRPr="00255CE0" w:rsidRDefault="0095454C" w:rsidP="0095454C">
            <w:pPr>
              <w:jc w:val="center"/>
              <w:rPr>
                <w:sz w:val="24"/>
                <w:szCs w:val="20"/>
              </w:rPr>
            </w:pPr>
            <w:r w:rsidRPr="00255CE0">
              <w:rPr>
                <w:sz w:val="24"/>
                <w:szCs w:val="20"/>
              </w:rPr>
              <w:t xml:space="preserve">Art. 5, alin. 3 – Dreptul la </w:t>
            </w:r>
            <w:r w:rsidRPr="00255CE0">
              <w:rPr>
                <w:sz w:val="24"/>
                <w:szCs w:val="20"/>
              </w:rPr>
              <w:lastRenderedPageBreak/>
              <w:t>libertate și la siguranță</w:t>
            </w:r>
          </w:p>
          <w:p w14:paraId="69829754" w14:textId="7DC47A5F" w:rsidR="0095454C" w:rsidRPr="00255CE0" w:rsidRDefault="0095454C" w:rsidP="0095454C">
            <w:pPr>
              <w:jc w:val="center"/>
              <w:rPr>
                <w:sz w:val="24"/>
                <w:szCs w:val="20"/>
              </w:rPr>
            </w:pPr>
            <w:r w:rsidRPr="00255CE0">
              <w:rPr>
                <w:sz w:val="24"/>
                <w:szCs w:val="20"/>
              </w:rPr>
              <w:t>Art. 8 – Dreptul la respectarea vieții private și de familie</w:t>
            </w:r>
          </w:p>
        </w:tc>
        <w:tc>
          <w:tcPr>
            <w:tcW w:w="202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3"/>
            </w:tblGrid>
            <w:tr w:rsidR="0095454C" w:rsidRPr="00255CE0" w14:paraId="4F5F75DA" w14:textId="77777777" w:rsidTr="00AD2B42">
              <w:trPr>
                <w:tblCellSpacing w:w="15" w:type="dxa"/>
              </w:trPr>
              <w:tc>
                <w:tcPr>
                  <w:tcW w:w="0" w:type="auto"/>
                  <w:vAlign w:val="center"/>
                  <w:hideMark/>
                </w:tcPr>
                <w:p w14:paraId="75977B3B" w14:textId="77777777" w:rsidR="0095454C" w:rsidRPr="00255CE0" w:rsidRDefault="0095454C" w:rsidP="0095454C">
                  <w:pPr>
                    <w:spacing w:after="0"/>
                    <w:jc w:val="center"/>
                    <w:rPr>
                      <w:sz w:val="24"/>
                      <w:szCs w:val="20"/>
                    </w:rPr>
                  </w:pPr>
                  <w:r w:rsidRPr="00255CE0">
                    <w:rPr>
                      <w:sz w:val="24"/>
                      <w:szCs w:val="20"/>
                    </w:rPr>
                    <w:lastRenderedPageBreak/>
                    <w:t xml:space="preserve">Lipsa motivelor relevante și suficiente pentru </w:t>
                  </w:r>
                  <w:r w:rsidRPr="00255CE0">
                    <w:rPr>
                      <w:sz w:val="24"/>
                      <w:szCs w:val="20"/>
                    </w:rPr>
                    <w:lastRenderedPageBreak/>
                    <w:t>privarea de libertate, supraveghere video permanentă în celulă</w:t>
                  </w:r>
                </w:p>
              </w:tc>
            </w:tr>
          </w:tbl>
          <w:p w14:paraId="1C3909EF" w14:textId="77777777" w:rsidR="0095454C" w:rsidRPr="00255CE0" w:rsidRDefault="0095454C" w:rsidP="0095454C">
            <w:pPr>
              <w:jc w:val="center"/>
              <w:rPr>
                <w:vanish/>
                <w:sz w:val="24"/>
                <w:szCs w:val="20"/>
              </w:rPr>
            </w:pPr>
          </w:p>
          <w:p w14:paraId="51F46D12" w14:textId="77777777" w:rsidR="0095454C" w:rsidRPr="00255CE0" w:rsidRDefault="0095454C" w:rsidP="0095454C">
            <w:pPr>
              <w:jc w:val="center"/>
              <w:rPr>
                <w:sz w:val="24"/>
                <w:szCs w:val="20"/>
              </w:rPr>
            </w:pPr>
          </w:p>
        </w:tc>
        <w:tc>
          <w:tcPr>
            <w:tcW w:w="1436" w:type="dxa"/>
          </w:tcPr>
          <w:p w14:paraId="29093989" w14:textId="533ED237" w:rsidR="0095454C" w:rsidRPr="00255CE0" w:rsidRDefault="0095454C" w:rsidP="0095454C">
            <w:pPr>
              <w:jc w:val="center"/>
              <w:rPr>
                <w:sz w:val="24"/>
                <w:szCs w:val="20"/>
              </w:rPr>
            </w:pPr>
            <w:r w:rsidRPr="00255CE0">
              <w:rPr>
                <w:sz w:val="24"/>
                <w:szCs w:val="20"/>
              </w:rPr>
              <w:lastRenderedPageBreak/>
              <w:t xml:space="preserve">19.11.2024, Malai c. Republica </w:t>
            </w:r>
            <w:r w:rsidRPr="00255CE0">
              <w:rPr>
                <w:sz w:val="24"/>
                <w:szCs w:val="20"/>
              </w:rPr>
              <w:lastRenderedPageBreak/>
              <w:t>Moldova</w:t>
            </w:r>
            <w:r>
              <w:rPr>
                <w:sz w:val="24"/>
                <w:szCs w:val="20"/>
              </w:rPr>
              <w:t xml:space="preserve"> [C]</w:t>
            </w:r>
          </w:p>
        </w:tc>
        <w:tc>
          <w:tcPr>
            <w:tcW w:w="1816" w:type="dxa"/>
          </w:tcPr>
          <w:p w14:paraId="61F1091F" w14:textId="2C137142" w:rsidR="0095454C" w:rsidRPr="00255CE0" w:rsidRDefault="0095454C" w:rsidP="0095454C">
            <w:pPr>
              <w:jc w:val="center"/>
              <w:rPr>
                <w:sz w:val="24"/>
                <w:szCs w:val="20"/>
              </w:rPr>
            </w:pPr>
            <w:r w:rsidRPr="00255CE0">
              <w:rPr>
                <w:sz w:val="24"/>
                <w:szCs w:val="20"/>
              </w:rPr>
              <w:lastRenderedPageBreak/>
              <w:t xml:space="preserve">Suspiciuni de corupție și abuz de putere, </w:t>
            </w:r>
            <w:r w:rsidRPr="00255CE0">
              <w:rPr>
                <w:sz w:val="24"/>
                <w:szCs w:val="20"/>
              </w:rPr>
              <w:lastRenderedPageBreak/>
              <w:t>privare neîntemeiată de libertate, supraveghere video permanentă în celulă, motive stereotipe și abstracte de prelungire a privării de libertate</w:t>
            </w:r>
          </w:p>
        </w:tc>
        <w:tc>
          <w:tcPr>
            <w:tcW w:w="2002" w:type="dxa"/>
          </w:tcPr>
          <w:p w14:paraId="00ECAC53" w14:textId="77777777" w:rsidR="0095454C" w:rsidRPr="00255CE0" w:rsidRDefault="0095454C" w:rsidP="0095454C">
            <w:pPr>
              <w:jc w:val="both"/>
              <w:rPr>
                <w:sz w:val="24"/>
                <w:szCs w:val="20"/>
              </w:rPr>
            </w:pPr>
            <w:r w:rsidRPr="00255CE0">
              <w:rPr>
                <w:sz w:val="24"/>
                <w:szCs w:val="20"/>
              </w:rPr>
              <w:lastRenderedPageBreak/>
              <w:t xml:space="preserve">- Instanțele Republicii Moldova au </w:t>
            </w:r>
            <w:r w:rsidRPr="00255CE0">
              <w:rPr>
                <w:sz w:val="24"/>
                <w:szCs w:val="20"/>
              </w:rPr>
              <w:lastRenderedPageBreak/>
              <w:t>motivat privarea de libertate a reclamantei, (care la momentul faptelor era primarul unei localități) asupra căreia existau suspiciuni de corupție și abuz de putere, prin faptul că aceasta ar fi putut influența martorii și interfera cu urmărirea penală.</w:t>
            </w:r>
          </w:p>
          <w:p w14:paraId="129B9A3D" w14:textId="77777777" w:rsidR="0095454C" w:rsidRPr="00255CE0" w:rsidRDefault="0095454C" w:rsidP="0095454C">
            <w:pPr>
              <w:jc w:val="both"/>
              <w:rPr>
                <w:sz w:val="24"/>
                <w:szCs w:val="20"/>
              </w:rPr>
            </w:pPr>
            <w:r w:rsidRPr="00255CE0">
              <w:rPr>
                <w:sz w:val="24"/>
                <w:szCs w:val="20"/>
              </w:rPr>
              <w:t>- CtEDO a reținut că Instanțele Republicii Moldova nu au luat în calcul comportamentul reclamantei dintre începerea urmăririi penale și arestarea ei, neexistând încercări ale acesteia de a influența urmărirea penală și că după arestarea reclamantei nu mai existau martori neaudiați. De asemenea, CtEDO a reținut că prelungirea privării de libertate s-a bazat pe motive stereotipe și abstracte. Astfel, CtEDO a constatat că privarea de libertate a avut loc în lipsa unor motive relevante și suficiente.</w:t>
            </w:r>
          </w:p>
          <w:p w14:paraId="76F7C79F" w14:textId="7678BE78" w:rsidR="0095454C" w:rsidRPr="00255CE0" w:rsidRDefault="0095454C" w:rsidP="0095454C">
            <w:pPr>
              <w:jc w:val="both"/>
              <w:rPr>
                <w:sz w:val="24"/>
                <w:szCs w:val="20"/>
              </w:rPr>
            </w:pPr>
            <w:r w:rsidRPr="00255CE0">
              <w:rPr>
                <w:sz w:val="24"/>
                <w:szCs w:val="20"/>
              </w:rPr>
              <w:t xml:space="preserve">– În ceea ce privește </w:t>
            </w:r>
            <w:r w:rsidRPr="00255CE0">
              <w:rPr>
                <w:sz w:val="24"/>
                <w:szCs w:val="20"/>
              </w:rPr>
              <w:lastRenderedPageBreak/>
              <w:t>supravegherea video permanentă din celulă, CtEDO a reținut că reclamanetei nu i-a fost oferit niciun remediu efectiv, iar decizia de plasare sub supraveghere video permanentă nu avea vreo bază legală în dreptul intern care să fie accesibilă și previzibilă și să ofere protecție adecvată împotriva arbitrariului, nu a fost motivată și individualizată, nu avea o durată determinată. Astfel, CtEDO a constatat că măsura contestată nu a fost „prevăzută de lege” în sensul art. 8, alin. 2 din CoEDO.</w:t>
            </w:r>
          </w:p>
        </w:tc>
        <w:tc>
          <w:tcPr>
            <w:tcW w:w="2340" w:type="dxa"/>
          </w:tcPr>
          <w:p w14:paraId="113002A9" w14:textId="77777777" w:rsidR="0095454C" w:rsidRPr="00255CE0" w:rsidRDefault="0095454C" w:rsidP="0095454C">
            <w:pPr>
              <w:jc w:val="center"/>
              <w:rPr>
                <w:sz w:val="24"/>
                <w:szCs w:val="20"/>
              </w:rPr>
            </w:pPr>
            <w:r w:rsidRPr="00255CE0">
              <w:rPr>
                <w:sz w:val="24"/>
                <w:szCs w:val="20"/>
              </w:rPr>
              <w:lastRenderedPageBreak/>
              <w:t>Încălcarea art. 5, alin. 3</w:t>
            </w:r>
          </w:p>
          <w:p w14:paraId="79E2CF67" w14:textId="77777777" w:rsidR="0095454C" w:rsidRPr="00255CE0" w:rsidRDefault="0095454C" w:rsidP="0095454C">
            <w:pPr>
              <w:jc w:val="center"/>
              <w:rPr>
                <w:sz w:val="24"/>
                <w:szCs w:val="20"/>
              </w:rPr>
            </w:pPr>
            <w:r w:rsidRPr="00255CE0">
              <w:rPr>
                <w:sz w:val="24"/>
                <w:szCs w:val="20"/>
              </w:rPr>
              <w:t>Încălcarea art. 8</w:t>
            </w:r>
          </w:p>
          <w:p w14:paraId="0D3BA399" w14:textId="77777777" w:rsidR="0095454C" w:rsidRPr="00255CE0" w:rsidRDefault="0095454C" w:rsidP="0095454C">
            <w:pPr>
              <w:jc w:val="center"/>
              <w:rPr>
                <w:sz w:val="24"/>
                <w:szCs w:val="20"/>
              </w:rPr>
            </w:pPr>
            <w:r w:rsidRPr="00255CE0">
              <w:rPr>
                <w:sz w:val="24"/>
                <w:szCs w:val="20"/>
              </w:rPr>
              <w:lastRenderedPageBreak/>
              <w:t>5.000 EUR (prejudiciu moral)</w:t>
            </w:r>
          </w:p>
          <w:p w14:paraId="1AB2050B" w14:textId="43FFDDC1" w:rsidR="0095454C" w:rsidRPr="00255CE0" w:rsidRDefault="0095454C" w:rsidP="0095454C">
            <w:pPr>
              <w:jc w:val="center"/>
              <w:rPr>
                <w:sz w:val="24"/>
                <w:szCs w:val="20"/>
              </w:rPr>
            </w:pPr>
            <w:r w:rsidRPr="00255CE0">
              <w:rPr>
                <w:sz w:val="24"/>
                <w:szCs w:val="20"/>
              </w:rPr>
              <w:t>1.500 EUR (costuri și cheltuieli)</w:t>
            </w:r>
          </w:p>
        </w:tc>
      </w:tr>
      <w:tr w:rsidR="0017299D" w:rsidRPr="00255CE0" w14:paraId="5E8776EE" w14:textId="77777777" w:rsidTr="00EA4515">
        <w:tc>
          <w:tcPr>
            <w:tcW w:w="534" w:type="dxa"/>
          </w:tcPr>
          <w:p w14:paraId="27A1A497" w14:textId="72E913C1" w:rsidR="0017299D" w:rsidRPr="00255CE0" w:rsidRDefault="0017299D" w:rsidP="0017299D">
            <w:pPr>
              <w:jc w:val="center"/>
              <w:rPr>
                <w:sz w:val="24"/>
                <w:szCs w:val="20"/>
              </w:rPr>
            </w:pPr>
            <w:r>
              <w:rPr>
                <w:sz w:val="24"/>
                <w:szCs w:val="20"/>
              </w:rPr>
              <w:lastRenderedPageBreak/>
              <w:t>7</w:t>
            </w:r>
          </w:p>
        </w:tc>
        <w:tc>
          <w:tcPr>
            <w:tcW w:w="1549" w:type="dxa"/>
          </w:tcPr>
          <w:p w14:paraId="7F33F37E" w14:textId="55FEFCBF" w:rsidR="0017299D" w:rsidRPr="00255CE0" w:rsidRDefault="0017299D" w:rsidP="0017299D">
            <w:pPr>
              <w:jc w:val="center"/>
              <w:rPr>
                <w:sz w:val="24"/>
                <w:szCs w:val="20"/>
              </w:rPr>
            </w:pPr>
            <w:r w:rsidRPr="00255CE0">
              <w:rPr>
                <w:sz w:val="24"/>
                <w:szCs w:val="20"/>
              </w:rPr>
              <w:t>Art. 8 – Dreptul la respectarea vieții private și de familie</w:t>
            </w:r>
          </w:p>
        </w:tc>
        <w:tc>
          <w:tcPr>
            <w:tcW w:w="2029" w:type="dxa"/>
          </w:tcPr>
          <w:p w14:paraId="07112349" w14:textId="323314AA" w:rsidR="0017299D" w:rsidRPr="00255CE0" w:rsidRDefault="0017299D" w:rsidP="0017299D">
            <w:pPr>
              <w:jc w:val="center"/>
              <w:rPr>
                <w:sz w:val="24"/>
                <w:szCs w:val="20"/>
              </w:rPr>
            </w:pPr>
            <w:r w:rsidRPr="00255CE0">
              <w:rPr>
                <w:sz w:val="24"/>
                <w:szCs w:val="20"/>
              </w:rPr>
              <w:t>Viață de familie; obligații pozitive ale statului; proceduri privind returnarea copiilor</w:t>
            </w:r>
          </w:p>
        </w:tc>
        <w:tc>
          <w:tcPr>
            <w:tcW w:w="1436" w:type="dxa"/>
          </w:tcPr>
          <w:p w14:paraId="6CAC7919" w14:textId="77777777" w:rsidR="0017299D" w:rsidRPr="00255CE0" w:rsidRDefault="0017299D" w:rsidP="0017299D">
            <w:pPr>
              <w:jc w:val="center"/>
              <w:rPr>
                <w:sz w:val="24"/>
                <w:szCs w:val="20"/>
              </w:rPr>
            </w:pPr>
            <w:r w:rsidRPr="00255CE0">
              <w:rPr>
                <w:sz w:val="24"/>
                <w:szCs w:val="20"/>
              </w:rPr>
              <w:t>14.12.2021,</w:t>
            </w:r>
          </w:p>
          <w:p w14:paraId="37835A66" w14:textId="2FAEAEE4" w:rsidR="0017299D" w:rsidRPr="00255CE0" w:rsidRDefault="0017299D" w:rsidP="0017299D">
            <w:pPr>
              <w:jc w:val="center"/>
              <w:rPr>
                <w:sz w:val="24"/>
                <w:szCs w:val="20"/>
              </w:rPr>
            </w:pPr>
            <w:r w:rsidRPr="00255CE0">
              <w:rPr>
                <w:sz w:val="24"/>
                <w:szCs w:val="20"/>
              </w:rPr>
              <w:t>Moglan c. Republica Moldova</w:t>
            </w:r>
            <w:r>
              <w:rPr>
                <w:sz w:val="24"/>
                <w:szCs w:val="20"/>
              </w:rPr>
              <w:t xml:space="preserve"> [C]</w:t>
            </w:r>
          </w:p>
        </w:tc>
        <w:tc>
          <w:tcPr>
            <w:tcW w:w="1816" w:type="dxa"/>
          </w:tcPr>
          <w:p w14:paraId="452FBB58" w14:textId="5B782F94" w:rsidR="0017299D" w:rsidRPr="00255CE0" w:rsidRDefault="0017299D" w:rsidP="0017299D">
            <w:pPr>
              <w:jc w:val="center"/>
              <w:rPr>
                <w:sz w:val="24"/>
                <w:szCs w:val="20"/>
              </w:rPr>
            </w:pPr>
            <w:r w:rsidRPr="00255CE0">
              <w:rPr>
                <w:sz w:val="24"/>
                <w:szCs w:val="20"/>
              </w:rPr>
              <w:t>Întârziere, diligență excepțională, interesul superior al copilului, alienare parentală, efecte asupra vieții de familie</w:t>
            </w:r>
          </w:p>
        </w:tc>
        <w:tc>
          <w:tcPr>
            <w:tcW w:w="2002" w:type="dxa"/>
          </w:tcPr>
          <w:p w14:paraId="2CC616EF" w14:textId="77777777" w:rsidR="0017299D" w:rsidRPr="00255CE0" w:rsidRDefault="0017299D" w:rsidP="0017299D">
            <w:pPr>
              <w:jc w:val="both"/>
              <w:rPr>
                <w:sz w:val="24"/>
                <w:szCs w:val="20"/>
              </w:rPr>
            </w:pPr>
            <w:r w:rsidRPr="00255CE0">
              <w:rPr>
                <w:sz w:val="24"/>
                <w:szCs w:val="20"/>
              </w:rPr>
              <w:t>– CtEDO a constatat că autoritățile nu au acționat cu diligența excepțională cerută în cauzele privind relațiile dintre părinți și copii.</w:t>
            </w:r>
          </w:p>
          <w:p w14:paraId="466AA451" w14:textId="77777777" w:rsidR="0017299D" w:rsidRPr="00255CE0" w:rsidRDefault="0017299D" w:rsidP="0017299D">
            <w:pPr>
              <w:jc w:val="both"/>
              <w:rPr>
                <w:sz w:val="24"/>
                <w:szCs w:val="20"/>
              </w:rPr>
            </w:pPr>
            <w:r w:rsidRPr="00255CE0">
              <w:rPr>
                <w:sz w:val="24"/>
                <w:szCs w:val="20"/>
              </w:rPr>
              <w:t xml:space="preserve">– A reținut că perioada de peste 18 săptămâni de inacțiune a autorității centrale față de termenul de 6 săptămâni prevăzut de Convenția de la Haga asupra </w:t>
            </w:r>
            <w:r w:rsidRPr="00255CE0">
              <w:rPr>
                <w:sz w:val="24"/>
                <w:szCs w:val="20"/>
              </w:rPr>
              <w:lastRenderedPageBreak/>
              <w:t xml:space="preserve">aspectelor civile ale răpirii internaționale de copii din 1980. </w:t>
            </w:r>
          </w:p>
          <w:p w14:paraId="042E9AEF" w14:textId="77777777" w:rsidR="0017299D" w:rsidRPr="00255CE0" w:rsidRDefault="0017299D" w:rsidP="0017299D">
            <w:pPr>
              <w:jc w:val="both"/>
              <w:rPr>
                <w:sz w:val="24"/>
                <w:szCs w:val="20"/>
              </w:rPr>
            </w:pPr>
            <w:r w:rsidRPr="00255CE0">
              <w:rPr>
                <w:sz w:val="24"/>
                <w:szCs w:val="20"/>
              </w:rPr>
              <w:t xml:space="preserve">– De asemenea, a stabilit faptul că târzieri cauzate de erori procedurale ale instanței, inclusiv citarea necorespunzătoare și lipsa audierii copilului timp de aproape un an; </w:t>
            </w:r>
          </w:p>
          <w:p w14:paraId="0AFA7EB2" w14:textId="77777777" w:rsidR="0017299D" w:rsidRPr="00255CE0" w:rsidRDefault="0017299D" w:rsidP="0017299D">
            <w:pPr>
              <w:jc w:val="both"/>
              <w:rPr>
                <w:sz w:val="24"/>
                <w:szCs w:val="20"/>
              </w:rPr>
            </w:pPr>
            <w:r w:rsidRPr="00255CE0">
              <w:rPr>
                <w:sz w:val="24"/>
                <w:szCs w:val="20"/>
              </w:rPr>
              <w:t xml:space="preserve">– A conchis amânări repetate ale obținerii rapoartelor psihologice; </w:t>
            </w:r>
          </w:p>
          <w:p w14:paraId="46DB2B29" w14:textId="77777777" w:rsidR="0017299D" w:rsidRPr="00255CE0" w:rsidRDefault="0017299D" w:rsidP="0017299D">
            <w:pPr>
              <w:jc w:val="both"/>
              <w:rPr>
                <w:sz w:val="24"/>
                <w:szCs w:val="20"/>
              </w:rPr>
            </w:pPr>
            <w:r w:rsidRPr="00255CE0">
              <w:rPr>
                <w:sz w:val="24"/>
                <w:szCs w:val="20"/>
              </w:rPr>
              <w:t xml:space="preserve">– A constatat neglijarea urgenței subliniate de reclamantă, inclusiv a riscului de alienare parentală; </w:t>
            </w:r>
          </w:p>
          <w:p w14:paraId="61139C15" w14:textId="77777777" w:rsidR="0017299D" w:rsidRPr="00255CE0" w:rsidRDefault="0017299D" w:rsidP="0017299D">
            <w:pPr>
              <w:jc w:val="both"/>
              <w:rPr>
                <w:sz w:val="24"/>
                <w:szCs w:val="20"/>
              </w:rPr>
            </w:pPr>
            <w:r w:rsidRPr="00255CE0">
              <w:rPr>
                <w:sz w:val="24"/>
                <w:szCs w:val="20"/>
              </w:rPr>
              <w:t xml:space="preserve">–  A reținut durata totală de aproape doi ani, deși natura cauzei impunea urgență strictă. </w:t>
            </w:r>
          </w:p>
          <w:p w14:paraId="5332F2F6" w14:textId="4857C9D0" w:rsidR="0017299D" w:rsidRPr="00255CE0" w:rsidRDefault="0017299D" w:rsidP="0017299D">
            <w:pPr>
              <w:jc w:val="both"/>
              <w:rPr>
                <w:sz w:val="24"/>
                <w:szCs w:val="20"/>
              </w:rPr>
            </w:pPr>
            <w:r w:rsidRPr="00255CE0">
              <w:rPr>
                <w:sz w:val="24"/>
                <w:szCs w:val="20"/>
              </w:rPr>
              <w:t>– CtEDO a concluzionat că întârzierile cumulativ imputabile autorităților au afectat în mod disproporționat viața familială și nu au respectat obligația pozitivă de a asigura un proces prompt.</w:t>
            </w:r>
          </w:p>
        </w:tc>
        <w:tc>
          <w:tcPr>
            <w:tcW w:w="2340" w:type="dxa"/>
          </w:tcPr>
          <w:p w14:paraId="6AE617E3" w14:textId="77777777" w:rsidR="0017299D" w:rsidRPr="00255CE0" w:rsidRDefault="0017299D" w:rsidP="0017299D">
            <w:pPr>
              <w:jc w:val="center"/>
              <w:rPr>
                <w:sz w:val="24"/>
                <w:szCs w:val="20"/>
              </w:rPr>
            </w:pPr>
            <w:r w:rsidRPr="00255CE0">
              <w:rPr>
                <w:sz w:val="24"/>
                <w:szCs w:val="20"/>
              </w:rPr>
              <w:lastRenderedPageBreak/>
              <w:t>Încălcare art. 8</w:t>
            </w:r>
          </w:p>
          <w:p w14:paraId="649FB8F5" w14:textId="182F4BD0" w:rsidR="0017299D" w:rsidRPr="00255CE0" w:rsidRDefault="0017299D" w:rsidP="0017299D">
            <w:pPr>
              <w:jc w:val="center"/>
              <w:rPr>
                <w:sz w:val="24"/>
                <w:szCs w:val="20"/>
              </w:rPr>
            </w:pPr>
            <w:r w:rsidRPr="00255CE0">
              <w:rPr>
                <w:sz w:val="24"/>
                <w:szCs w:val="20"/>
              </w:rPr>
              <w:t>Nicio sumă acordată (reclamanta nu a solicitat nici prejudiciu, nici acoperirea costurilor și cheltuielilor)</w:t>
            </w:r>
          </w:p>
        </w:tc>
      </w:tr>
      <w:tr w:rsidR="0017299D" w:rsidRPr="00255CE0" w14:paraId="4BB475FC" w14:textId="77777777" w:rsidTr="00EA4515">
        <w:tc>
          <w:tcPr>
            <w:tcW w:w="534" w:type="dxa"/>
          </w:tcPr>
          <w:p w14:paraId="41DBCDAC" w14:textId="0FFFF899" w:rsidR="0017299D" w:rsidRPr="00255CE0" w:rsidRDefault="0017299D" w:rsidP="0017299D">
            <w:pPr>
              <w:jc w:val="center"/>
              <w:rPr>
                <w:sz w:val="24"/>
                <w:szCs w:val="20"/>
              </w:rPr>
            </w:pPr>
            <w:r w:rsidRPr="00255CE0">
              <w:rPr>
                <w:sz w:val="24"/>
                <w:szCs w:val="20"/>
              </w:rPr>
              <w:t>8</w:t>
            </w:r>
          </w:p>
        </w:tc>
        <w:tc>
          <w:tcPr>
            <w:tcW w:w="1549" w:type="dxa"/>
          </w:tcPr>
          <w:p w14:paraId="5BD7A999" w14:textId="77777777" w:rsidR="0017299D" w:rsidRDefault="0017299D" w:rsidP="0017299D">
            <w:pPr>
              <w:jc w:val="center"/>
              <w:rPr>
                <w:sz w:val="24"/>
                <w:szCs w:val="20"/>
              </w:rPr>
            </w:pPr>
            <w:r w:rsidRPr="00255CE0">
              <w:rPr>
                <w:sz w:val="24"/>
                <w:szCs w:val="20"/>
              </w:rPr>
              <w:t>Art. 6, alin. 1 – Dreptul la un proces echitabil</w:t>
            </w:r>
          </w:p>
          <w:p w14:paraId="286E1B93" w14:textId="02A23E62" w:rsidR="0081309E" w:rsidRPr="00255CE0" w:rsidRDefault="0081309E" w:rsidP="0017299D">
            <w:pPr>
              <w:jc w:val="center"/>
              <w:rPr>
                <w:sz w:val="24"/>
                <w:szCs w:val="20"/>
              </w:rPr>
            </w:pPr>
            <w:r>
              <w:rPr>
                <w:sz w:val="24"/>
                <w:szCs w:val="20"/>
              </w:rPr>
              <w:t>Art. 1 din Prot. nr. 1 – Protecția proprietății</w:t>
            </w:r>
          </w:p>
        </w:tc>
        <w:tc>
          <w:tcPr>
            <w:tcW w:w="2029" w:type="dxa"/>
          </w:tcPr>
          <w:p w14:paraId="232492F2" w14:textId="1E6209BC" w:rsidR="0017299D" w:rsidRPr="00255CE0" w:rsidRDefault="0017299D" w:rsidP="0017299D">
            <w:pPr>
              <w:jc w:val="center"/>
              <w:rPr>
                <w:sz w:val="24"/>
                <w:szCs w:val="20"/>
              </w:rPr>
            </w:pPr>
            <w:r w:rsidRPr="00255CE0">
              <w:rPr>
                <w:sz w:val="24"/>
                <w:szCs w:val="20"/>
              </w:rPr>
              <w:t>Dreptul la un proces echitabil, determinarea unei acuzații penale, dreptul de a fi audiat, contradictorialitate</w:t>
            </w:r>
          </w:p>
        </w:tc>
        <w:tc>
          <w:tcPr>
            <w:tcW w:w="1436" w:type="dxa"/>
          </w:tcPr>
          <w:p w14:paraId="4D261EC3" w14:textId="6EDC1BC3" w:rsidR="0017299D" w:rsidRPr="00255CE0" w:rsidRDefault="0017299D" w:rsidP="0017299D">
            <w:pPr>
              <w:jc w:val="center"/>
              <w:rPr>
                <w:sz w:val="24"/>
                <w:szCs w:val="20"/>
              </w:rPr>
            </w:pPr>
            <w:r w:rsidRPr="00255CE0">
              <w:rPr>
                <w:sz w:val="24"/>
                <w:szCs w:val="20"/>
              </w:rPr>
              <w:t>30.08.2016 (definitivă 30.11.2016), Igor Pascari c. Republica Moldova</w:t>
            </w:r>
            <w:r>
              <w:rPr>
                <w:sz w:val="24"/>
                <w:szCs w:val="20"/>
              </w:rPr>
              <w:t xml:space="preserve"> [C]</w:t>
            </w:r>
          </w:p>
        </w:tc>
        <w:tc>
          <w:tcPr>
            <w:tcW w:w="1816" w:type="dxa"/>
          </w:tcPr>
          <w:p w14:paraId="4A76F84E" w14:textId="5A1530BE" w:rsidR="0017299D" w:rsidRPr="00255CE0" w:rsidRDefault="0017299D" w:rsidP="0017299D">
            <w:pPr>
              <w:jc w:val="center"/>
              <w:rPr>
                <w:sz w:val="24"/>
                <w:szCs w:val="20"/>
              </w:rPr>
            </w:pPr>
            <w:r w:rsidRPr="00255CE0">
              <w:rPr>
                <w:sz w:val="24"/>
                <w:szCs w:val="20"/>
              </w:rPr>
              <w:t xml:space="preserve">Proces echitabil, procedură </w:t>
            </w:r>
            <w:r w:rsidRPr="00255CE0">
              <w:rPr>
                <w:i/>
                <w:iCs/>
                <w:sz w:val="24"/>
                <w:szCs w:val="20"/>
              </w:rPr>
              <w:t>in absentia</w:t>
            </w:r>
            <w:r w:rsidRPr="00255CE0">
              <w:rPr>
                <w:sz w:val="24"/>
                <w:szCs w:val="20"/>
              </w:rPr>
              <w:t>, acuzație penală, dreptul la apărare</w:t>
            </w:r>
          </w:p>
        </w:tc>
        <w:tc>
          <w:tcPr>
            <w:tcW w:w="2002" w:type="dxa"/>
          </w:tcPr>
          <w:p w14:paraId="38D5DAD4" w14:textId="77777777" w:rsidR="0017299D" w:rsidRPr="00255CE0" w:rsidRDefault="0017299D" w:rsidP="0017299D">
            <w:pPr>
              <w:jc w:val="both"/>
              <w:rPr>
                <w:sz w:val="24"/>
                <w:szCs w:val="20"/>
              </w:rPr>
            </w:pPr>
            <w:r w:rsidRPr="00255CE0">
              <w:rPr>
                <w:sz w:val="24"/>
                <w:szCs w:val="20"/>
              </w:rPr>
              <w:t xml:space="preserve">– CtEDO a reținut că procedurile contravenționale întemeiate pe Codul contravențional al Republicii Moldova aveau </w:t>
            </w:r>
            <w:r w:rsidRPr="00255CE0">
              <w:rPr>
                <w:sz w:val="24"/>
                <w:szCs w:val="20"/>
              </w:rPr>
              <w:lastRenderedPageBreak/>
              <w:t xml:space="preserve">natură penală, luând în considerare caracterul general al normei, natura represivă și preventivă a sancțiunilor, precum și gravitatea potențială a acestora. </w:t>
            </w:r>
          </w:p>
          <w:p w14:paraId="1027E94D" w14:textId="77777777" w:rsidR="0017299D" w:rsidRPr="00255CE0" w:rsidRDefault="0017299D" w:rsidP="0017299D">
            <w:pPr>
              <w:jc w:val="both"/>
              <w:rPr>
                <w:sz w:val="24"/>
                <w:szCs w:val="20"/>
              </w:rPr>
            </w:pPr>
            <w:r w:rsidRPr="00255CE0">
              <w:rPr>
                <w:sz w:val="24"/>
                <w:szCs w:val="20"/>
              </w:rPr>
              <w:t xml:space="preserve">– Deși reclamantul nu a fost sancționat efectiv din motive de prescripție, CtEDO a subliniat că relevantă este sancțiunea potențială, nu cea aplicată. </w:t>
            </w:r>
          </w:p>
          <w:p w14:paraId="4177B7C5" w14:textId="77777777" w:rsidR="0017299D" w:rsidRPr="00255CE0" w:rsidRDefault="0017299D" w:rsidP="0017299D">
            <w:pPr>
              <w:jc w:val="both"/>
              <w:rPr>
                <w:sz w:val="24"/>
                <w:szCs w:val="20"/>
              </w:rPr>
            </w:pPr>
            <w:r w:rsidRPr="00255CE0">
              <w:rPr>
                <w:sz w:val="24"/>
                <w:szCs w:val="20"/>
              </w:rPr>
              <w:t xml:space="preserve">– CtEDO a constatat că instanța de apel a stabilit responsabilitatea reclamantului pentru producerea accidentului rutier fără ca acesta să fi fost implicat în procedură, iar această constatare a avut un efect determinant și obligatoriu pentru autoritățile administrative ulterioare. </w:t>
            </w:r>
          </w:p>
          <w:p w14:paraId="51209D87" w14:textId="0BAC4005" w:rsidR="0017299D" w:rsidRPr="00255CE0" w:rsidRDefault="0017299D" w:rsidP="0017299D">
            <w:pPr>
              <w:jc w:val="both"/>
              <w:rPr>
                <w:sz w:val="24"/>
                <w:szCs w:val="20"/>
              </w:rPr>
            </w:pPr>
            <w:r w:rsidRPr="00255CE0">
              <w:rPr>
                <w:sz w:val="24"/>
                <w:szCs w:val="20"/>
              </w:rPr>
              <w:t xml:space="preserve">– Prin efectul autorității de lucru judecat, excluderea răspunderii celeilalte persoane implicate a condus implicit la predeterminarea vinovăției reclamantului. În aceste condiții, </w:t>
            </w:r>
            <w:r w:rsidRPr="00255CE0">
              <w:rPr>
                <w:sz w:val="24"/>
                <w:szCs w:val="20"/>
              </w:rPr>
              <w:lastRenderedPageBreak/>
              <w:t>CtEDO- a concluzionat că stabilirea unei acuzații penale împotriva reclamantului în absența sa a adus atingere dreptului la un proces echitabil.</w:t>
            </w:r>
          </w:p>
        </w:tc>
        <w:tc>
          <w:tcPr>
            <w:tcW w:w="2340" w:type="dxa"/>
          </w:tcPr>
          <w:p w14:paraId="71AF9EA8" w14:textId="77777777" w:rsidR="0017299D" w:rsidRDefault="0017299D" w:rsidP="0017299D">
            <w:pPr>
              <w:jc w:val="center"/>
              <w:rPr>
                <w:sz w:val="24"/>
                <w:szCs w:val="20"/>
              </w:rPr>
            </w:pPr>
            <w:r w:rsidRPr="00255CE0">
              <w:rPr>
                <w:sz w:val="24"/>
                <w:szCs w:val="20"/>
              </w:rPr>
              <w:lastRenderedPageBreak/>
              <w:t>Încălcarea art. 6, alin. 1</w:t>
            </w:r>
          </w:p>
          <w:p w14:paraId="1AACF944" w14:textId="46035E52" w:rsidR="0081309E" w:rsidRPr="00255CE0" w:rsidRDefault="0081309E" w:rsidP="0081309E">
            <w:pPr>
              <w:jc w:val="center"/>
              <w:rPr>
                <w:sz w:val="24"/>
                <w:szCs w:val="20"/>
              </w:rPr>
            </w:pPr>
            <w:r>
              <w:rPr>
                <w:sz w:val="24"/>
                <w:szCs w:val="20"/>
              </w:rPr>
              <w:t>Lipsa necesității de examinare a plângerii referitoare la art. 1 din Prot. nr. 1</w:t>
            </w:r>
          </w:p>
          <w:p w14:paraId="37BECFD3" w14:textId="77777777" w:rsidR="0017299D" w:rsidRPr="00255CE0" w:rsidRDefault="0017299D" w:rsidP="0017299D">
            <w:pPr>
              <w:jc w:val="center"/>
              <w:rPr>
                <w:sz w:val="24"/>
                <w:szCs w:val="20"/>
              </w:rPr>
            </w:pPr>
            <w:r w:rsidRPr="00255CE0">
              <w:rPr>
                <w:sz w:val="24"/>
                <w:szCs w:val="20"/>
              </w:rPr>
              <w:t>2.500 EUR (prejudiciu moral)</w:t>
            </w:r>
          </w:p>
          <w:p w14:paraId="6B483209" w14:textId="7E5DB560" w:rsidR="0017299D" w:rsidRPr="00255CE0" w:rsidRDefault="0017299D" w:rsidP="0017299D">
            <w:pPr>
              <w:jc w:val="center"/>
              <w:rPr>
                <w:sz w:val="24"/>
                <w:szCs w:val="20"/>
              </w:rPr>
            </w:pPr>
            <w:r w:rsidRPr="00255CE0">
              <w:rPr>
                <w:sz w:val="24"/>
                <w:szCs w:val="20"/>
              </w:rPr>
              <w:lastRenderedPageBreak/>
              <w:t>590 EUR (</w:t>
            </w:r>
            <w:r>
              <w:rPr>
                <w:sz w:val="24"/>
                <w:szCs w:val="20"/>
              </w:rPr>
              <w:t xml:space="preserve">costuri și </w:t>
            </w:r>
            <w:r w:rsidRPr="00255CE0">
              <w:rPr>
                <w:sz w:val="24"/>
                <w:szCs w:val="20"/>
              </w:rPr>
              <w:t>cheltuieli)</w:t>
            </w:r>
          </w:p>
        </w:tc>
      </w:tr>
      <w:tr w:rsidR="0017299D" w:rsidRPr="00255CE0" w14:paraId="585E435C" w14:textId="77777777" w:rsidTr="00EA4515">
        <w:tc>
          <w:tcPr>
            <w:tcW w:w="534" w:type="dxa"/>
          </w:tcPr>
          <w:p w14:paraId="5782364C" w14:textId="69F0C0D9" w:rsidR="0017299D" w:rsidRPr="00255CE0" w:rsidRDefault="0017299D" w:rsidP="0017299D">
            <w:pPr>
              <w:jc w:val="center"/>
              <w:rPr>
                <w:sz w:val="24"/>
                <w:szCs w:val="20"/>
              </w:rPr>
            </w:pPr>
            <w:r w:rsidRPr="00255CE0">
              <w:rPr>
                <w:sz w:val="24"/>
                <w:szCs w:val="20"/>
              </w:rPr>
              <w:lastRenderedPageBreak/>
              <w:t>9</w:t>
            </w:r>
          </w:p>
        </w:tc>
        <w:tc>
          <w:tcPr>
            <w:tcW w:w="1549" w:type="dxa"/>
          </w:tcPr>
          <w:p w14:paraId="3969E976" w14:textId="3ECD8F96" w:rsidR="0017299D" w:rsidRPr="00255CE0" w:rsidRDefault="0017299D" w:rsidP="0017299D">
            <w:pPr>
              <w:jc w:val="center"/>
              <w:rPr>
                <w:sz w:val="24"/>
                <w:szCs w:val="20"/>
              </w:rPr>
            </w:pPr>
            <w:r w:rsidRPr="00255CE0">
              <w:rPr>
                <w:sz w:val="24"/>
                <w:szCs w:val="20"/>
              </w:rPr>
              <w:t>Art. 5, alin. 1</w:t>
            </w:r>
            <w:r w:rsidR="0081309E">
              <w:rPr>
                <w:sz w:val="24"/>
                <w:szCs w:val="20"/>
              </w:rPr>
              <w:t>, art. 5, alin. 3</w:t>
            </w:r>
            <w:r w:rsidRPr="00255CE0">
              <w:rPr>
                <w:sz w:val="24"/>
                <w:szCs w:val="20"/>
              </w:rPr>
              <w:t xml:space="preserve"> – Dreptul la libertate și la siguranță</w:t>
            </w:r>
          </w:p>
        </w:tc>
        <w:tc>
          <w:tcPr>
            <w:tcW w:w="2029" w:type="dxa"/>
          </w:tcPr>
          <w:p w14:paraId="2F2E2444" w14:textId="3B702495" w:rsidR="0017299D" w:rsidRPr="00255CE0" w:rsidRDefault="0017299D" w:rsidP="0017299D">
            <w:pPr>
              <w:jc w:val="center"/>
              <w:rPr>
                <w:sz w:val="24"/>
                <w:szCs w:val="20"/>
              </w:rPr>
            </w:pPr>
            <w:r w:rsidRPr="00255CE0">
              <w:rPr>
                <w:sz w:val="24"/>
                <w:szCs w:val="20"/>
              </w:rPr>
              <w:t>Dreptul la libertate și la siguranță, detenție penală, legalitatea privării de libertate</w:t>
            </w:r>
          </w:p>
        </w:tc>
        <w:tc>
          <w:tcPr>
            <w:tcW w:w="1436" w:type="dxa"/>
          </w:tcPr>
          <w:p w14:paraId="18321AB9" w14:textId="5AEAD0CC" w:rsidR="0017299D" w:rsidRPr="00255CE0" w:rsidRDefault="0017299D" w:rsidP="0017299D">
            <w:pPr>
              <w:jc w:val="center"/>
              <w:rPr>
                <w:sz w:val="24"/>
                <w:szCs w:val="20"/>
              </w:rPr>
            </w:pPr>
            <w:r w:rsidRPr="00255CE0">
              <w:rPr>
                <w:sz w:val="24"/>
                <w:szCs w:val="20"/>
              </w:rPr>
              <w:t>13.11.2018 (definitivă 13.02.2019), Litschauer c. Republica Moldova</w:t>
            </w:r>
            <w:r>
              <w:rPr>
                <w:sz w:val="24"/>
                <w:szCs w:val="20"/>
              </w:rPr>
              <w:t xml:space="preserve"> [C]</w:t>
            </w:r>
          </w:p>
        </w:tc>
        <w:tc>
          <w:tcPr>
            <w:tcW w:w="1816" w:type="dxa"/>
          </w:tcPr>
          <w:p w14:paraId="5537F2C3" w14:textId="5FE19E8C" w:rsidR="0017299D" w:rsidRPr="00255CE0" w:rsidRDefault="0017299D" w:rsidP="0017299D">
            <w:pPr>
              <w:jc w:val="center"/>
              <w:rPr>
                <w:sz w:val="24"/>
                <w:szCs w:val="20"/>
              </w:rPr>
            </w:pPr>
            <w:r w:rsidRPr="00255CE0">
              <w:rPr>
                <w:sz w:val="24"/>
                <w:szCs w:val="20"/>
              </w:rPr>
              <w:t>Legalitatea detenției, previzibilitatea normei penale, suspiciune rezonabilă, interpretare extensivă a legii penale, securitate juridică</w:t>
            </w:r>
          </w:p>
        </w:tc>
        <w:tc>
          <w:tcPr>
            <w:tcW w:w="2002" w:type="dxa"/>
          </w:tcPr>
          <w:p w14:paraId="5E690E96" w14:textId="4F93F4B5" w:rsidR="0017299D" w:rsidRPr="00255CE0" w:rsidRDefault="0017299D" w:rsidP="0017299D">
            <w:pPr>
              <w:jc w:val="both"/>
              <w:rPr>
                <w:sz w:val="24"/>
                <w:szCs w:val="20"/>
              </w:rPr>
            </w:pPr>
            <w:r w:rsidRPr="00255CE0">
              <w:rPr>
                <w:sz w:val="24"/>
                <w:szCs w:val="20"/>
              </w:rPr>
              <w:t>– CtEDO a constatat că normele interne relevante nu erau formulate cu suficientă precizie pentru a permite reclamantului să prevadă, într-un mod rezonabil, că activitatea desfășurată putea fi calificată drept infracțiune. În absența unei definiții clare și a unei jurisprudențe consolidate la momentul privării de libertate, condiția legalității detenției nu a fost îndeplinită în sensul art. 5, alin. 1.</w:t>
            </w:r>
          </w:p>
        </w:tc>
        <w:tc>
          <w:tcPr>
            <w:tcW w:w="2340" w:type="dxa"/>
          </w:tcPr>
          <w:p w14:paraId="72BCCB60" w14:textId="77777777" w:rsidR="0017299D" w:rsidRDefault="0017299D" w:rsidP="0017299D">
            <w:pPr>
              <w:jc w:val="center"/>
              <w:rPr>
                <w:sz w:val="24"/>
                <w:szCs w:val="20"/>
              </w:rPr>
            </w:pPr>
            <w:r w:rsidRPr="00255CE0">
              <w:rPr>
                <w:sz w:val="24"/>
                <w:szCs w:val="20"/>
              </w:rPr>
              <w:t>Încălcarea art. 5, alin. 1</w:t>
            </w:r>
          </w:p>
          <w:p w14:paraId="77540593" w14:textId="68F5FB32" w:rsidR="0081309E" w:rsidRPr="00255CE0" w:rsidRDefault="0081309E" w:rsidP="0081309E">
            <w:pPr>
              <w:jc w:val="center"/>
              <w:rPr>
                <w:sz w:val="24"/>
                <w:szCs w:val="20"/>
              </w:rPr>
            </w:pPr>
            <w:r>
              <w:rPr>
                <w:sz w:val="24"/>
                <w:szCs w:val="20"/>
              </w:rPr>
              <w:t>Lipsa necesității de examinare a plângerii referitoare la art. 5, alin. 3</w:t>
            </w:r>
          </w:p>
          <w:p w14:paraId="156359E3" w14:textId="77777777" w:rsidR="0017299D" w:rsidRPr="00255CE0" w:rsidRDefault="0017299D" w:rsidP="0017299D">
            <w:pPr>
              <w:jc w:val="center"/>
              <w:rPr>
                <w:sz w:val="24"/>
                <w:szCs w:val="20"/>
              </w:rPr>
            </w:pPr>
            <w:r w:rsidRPr="00255CE0">
              <w:rPr>
                <w:sz w:val="24"/>
                <w:szCs w:val="20"/>
              </w:rPr>
              <w:t>8.000 EUR (prejudiciu moral)</w:t>
            </w:r>
          </w:p>
          <w:p w14:paraId="7F6171F8" w14:textId="3818674E" w:rsidR="0017299D" w:rsidRPr="00255CE0" w:rsidRDefault="0017299D" w:rsidP="0017299D">
            <w:pPr>
              <w:jc w:val="center"/>
              <w:rPr>
                <w:sz w:val="24"/>
                <w:szCs w:val="20"/>
              </w:rPr>
            </w:pPr>
            <w:r w:rsidRPr="00255CE0">
              <w:rPr>
                <w:sz w:val="24"/>
                <w:szCs w:val="20"/>
              </w:rPr>
              <w:t>2.000 EUR (costuri și cheltuieli)</w:t>
            </w:r>
          </w:p>
        </w:tc>
      </w:tr>
      <w:tr w:rsidR="0017299D" w:rsidRPr="00255CE0" w14:paraId="2ABF828C" w14:textId="77777777" w:rsidTr="00EA4515">
        <w:tc>
          <w:tcPr>
            <w:tcW w:w="534" w:type="dxa"/>
          </w:tcPr>
          <w:p w14:paraId="3FCC30AC" w14:textId="6641F147" w:rsidR="0017299D" w:rsidRPr="00255CE0" w:rsidRDefault="0017299D" w:rsidP="0017299D">
            <w:pPr>
              <w:jc w:val="center"/>
              <w:rPr>
                <w:sz w:val="24"/>
                <w:szCs w:val="20"/>
              </w:rPr>
            </w:pPr>
            <w:r w:rsidRPr="00255CE0">
              <w:rPr>
                <w:sz w:val="24"/>
                <w:szCs w:val="20"/>
              </w:rPr>
              <w:t>10</w:t>
            </w:r>
          </w:p>
        </w:tc>
        <w:tc>
          <w:tcPr>
            <w:tcW w:w="1549" w:type="dxa"/>
          </w:tcPr>
          <w:p w14:paraId="40287511" w14:textId="77777777" w:rsidR="0017299D" w:rsidRDefault="0017299D" w:rsidP="0017299D">
            <w:pPr>
              <w:jc w:val="center"/>
              <w:rPr>
                <w:sz w:val="24"/>
                <w:szCs w:val="20"/>
              </w:rPr>
            </w:pPr>
            <w:r w:rsidRPr="00255CE0">
              <w:rPr>
                <w:sz w:val="24"/>
                <w:szCs w:val="20"/>
              </w:rPr>
              <w:t>Art. 1 din Prot</w:t>
            </w:r>
            <w:r>
              <w:rPr>
                <w:sz w:val="24"/>
                <w:szCs w:val="20"/>
              </w:rPr>
              <w:t>.</w:t>
            </w:r>
            <w:r w:rsidRPr="00255CE0">
              <w:rPr>
                <w:sz w:val="24"/>
                <w:szCs w:val="20"/>
              </w:rPr>
              <w:t xml:space="preserve"> nr. 1 – Protecția proprietății</w:t>
            </w:r>
          </w:p>
          <w:p w14:paraId="17740D54" w14:textId="5F0A20C7" w:rsidR="0081309E" w:rsidRPr="00255CE0" w:rsidRDefault="0081309E" w:rsidP="0017299D">
            <w:pPr>
              <w:jc w:val="center"/>
              <w:rPr>
                <w:sz w:val="24"/>
                <w:szCs w:val="20"/>
              </w:rPr>
            </w:pPr>
            <w:r>
              <w:rPr>
                <w:sz w:val="24"/>
                <w:szCs w:val="20"/>
              </w:rPr>
              <w:t>Art. 6, alin. 1 – Dreptul la un proces echitabil</w:t>
            </w:r>
          </w:p>
        </w:tc>
        <w:tc>
          <w:tcPr>
            <w:tcW w:w="2029" w:type="dxa"/>
          </w:tcPr>
          <w:p w14:paraId="5A3016FF" w14:textId="721A1D2D" w:rsidR="0017299D" w:rsidRPr="00255CE0" w:rsidRDefault="0017299D" w:rsidP="0017299D">
            <w:pPr>
              <w:jc w:val="center"/>
              <w:rPr>
                <w:sz w:val="24"/>
                <w:szCs w:val="20"/>
              </w:rPr>
            </w:pPr>
            <w:r w:rsidRPr="00255CE0">
              <w:rPr>
                <w:sz w:val="24"/>
                <w:szCs w:val="20"/>
              </w:rPr>
              <w:t>Protecția proprietății, controlul folosirii bunurilor</w:t>
            </w:r>
          </w:p>
        </w:tc>
        <w:tc>
          <w:tcPr>
            <w:tcW w:w="1436" w:type="dxa"/>
          </w:tcPr>
          <w:p w14:paraId="01EF196B" w14:textId="00114501" w:rsidR="0017299D" w:rsidRPr="00255CE0" w:rsidRDefault="0017299D" w:rsidP="0017299D">
            <w:pPr>
              <w:jc w:val="center"/>
              <w:rPr>
                <w:sz w:val="24"/>
                <w:szCs w:val="20"/>
              </w:rPr>
            </w:pPr>
            <w:r w:rsidRPr="00255CE0">
              <w:rPr>
                <w:sz w:val="24"/>
                <w:szCs w:val="20"/>
              </w:rPr>
              <w:t>04.09.2018 (definitivă 04.12.2018), Tiramavia S.R.L. și alții c. Republica Moldova</w:t>
            </w:r>
            <w:r>
              <w:rPr>
                <w:sz w:val="24"/>
                <w:szCs w:val="20"/>
              </w:rPr>
              <w:t xml:space="preserve"> [C]</w:t>
            </w:r>
          </w:p>
        </w:tc>
        <w:tc>
          <w:tcPr>
            <w:tcW w:w="1816" w:type="dxa"/>
          </w:tcPr>
          <w:p w14:paraId="4CAEDD1C" w14:textId="148C5B4A" w:rsidR="0017299D" w:rsidRPr="00255CE0" w:rsidRDefault="0017299D" w:rsidP="0017299D">
            <w:pPr>
              <w:jc w:val="center"/>
              <w:rPr>
                <w:sz w:val="24"/>
                <w:szCs w:val="20"/>
              </w:rPr>
            </w:pPr>
            <w:r w:rsidRPr="00255CE0">
              <w:rPr>
                <w:sz w:val="24"/>
                <w:szCs w:val="20"/>
              </w:rPr>
              <w:t>Drept de proprietate, legalitatea ingerinței, garanții procedural, securitate juridică</w:t>
            </w:r>
          </w:p>
        </w:tc>
        <w:tc>
          <w:tcPr>
            <w:tcW w:w="2002" w:type="dxa"/>
          </w:tcPr>
          <w:p w14:paraId="6B6560B3" w14:textId="0EA618E9" w:rsidR="0017299D" w:rsidRPr="00255CE0" w:rsidRDefault="0017299D" w:rsidP="0017299D">
            <w:pPr>
              <w:jc w:val="both"/>
              <w:rPr>
                <w:sz w:val="24"/>
                <w:szCs w:val="20"/>
              </w:rPr>
            </w:pPr>
            <w:r w:rsidRPr="00255CE0">
              <w:rPr>
                <w:sz w:val="24"/>
                <w:szCs w:val="20"/>
              </w:rPr>
              <w:t xml:space="preserve">– CtEDO a constatat că retragerea certificatelor de operator aerian a constituit o ingerință în dreptul reclamanților la respectarea bunurilor lor. Deși autoritatea administrativă dispunea, în principiu, de competența de a retrage </w:t>
            </w:r>
            <w:r w:rsidRPr="00255CE0">
              <w:rPr>
                <w:sz w:val="24"/>
                <w:szCs w:val="20"/>
              </w:rPr>
              <w:lastRenderedPageBreak/>
              <w:t>autorizațiile, ingerința nu a fost însoțită de garanții suficiente împotriva arbitrariului. Autoritățile nu au respectat procedura prevăzută de lege, nu au indicat în mod concret neregulile imputate și nu au oferit reclamanților posibilitatea efectivă de a le remedia sau de a-și prezenta poziția. În aceste condiții, ingerința nu a fost legală în sensul Articolului 1 din Prot</w:t>
            </w:r>
            <w:r>
              <w:rPr>
                <w:sz w:val="24"/>
                <w:szCs w:val="20"/>
              </w:rPr>
              <w:t>.</w:t>
            </w:r>
            <w:r w:rsidRPr="00255CE0">
              <w:rPr>
                <w:sz w:val="24"/>
                <w:szCs w:val="20"/>
              </w:rPr>
              <w:t xml:space="preserve"> nr. 1.</w:t>
            </w:r>
          </w:p>
        </w:tc>
        <w:tc>
          <w:tcPr>
            <w:tcW w:w="2340" w:type="dxa"/>
          </w:tcPr>
          <w:p w14:paraId="07B32C46" w14:textId="3C55474D" w:rsidR="0017299D" w:rsidRDefault="0017299D" w:rsidP="0017299D">
            <w:pPr>
              <w:jc w:val="center"/>
              <w:rPr>
                <w:sz w:val="24"/>
                <w:szCs w:val="20"/>
              </w:rPr>
            </w:pPr>
            <w:r w:rsidRPr="00255CE0">
              <w:rPr>
                <w:sz w:val="24"/>
                <w:szCs w:val="20"/>
              </w:rPr>
              <w:lastRenderedPageBreak/>
              <w:t>Încălcarea art. 1 din Prot</w:t>
            </w:r>
            <w:r>
              <w:rPr>
                <w:sz w:val="24"/>
                <w:szCs w:val="20"/>
              </w:rPr>
              <w:t>.</w:t>
            </w:r>
            <w:r w:rsidRPr="00255CE0">
              <w:rPr>
                <w:sz w:val="24"/>
                <w:szCs w:val="20"/>
              </w:rPr>
              <w:t xml:space="preserve"> nr. 1</w:t>
            </w:r>
          </w:p>
          <w:p w14:paraId="74C81E71" w14:textId="5A1ADCE5" w:rsidR="0081309E" w:rsidRPr="00255CE0" w:rsidRDefault="0081309E" w:rsidP="0081309E">
            <w:pPr>
              <w:jc w:val="center"/>
              <w:rPr>
                <w:sz w:val="24"/>
                <w:szCs w:val="20"/>
              </w:rPr>
            </w:pPr>
            <w:r>
              <w:rPr>
                <w:sz w:val="24"/>
                <w:szCs w:val="20"/>
              </w:rPr>
              <w:t>Lipsa necesității de examinare a plângerii referitoare la art. 6, alin. 1</w:t>
            </w:r>
          </w:p>
          <w:p w14:paraId="4AA8D2E8" w14:textId="77777777" w:rsidR="0017299D" w:rsidRPr="00255CE0" w:rsidRDefault="0017299D" w:rsidP="0017299D">
            <w:pPr>
              <w:jc w:val="center"/>
              <w:rPr>
                <w:sz w:val="24"/>
                <w:szCs w:val="20"/>
              </w:rPr>
            </w:pPr>
            <w:r w:rsidRPr="00255CE0">
              <w:rPr>
                <w:sz w:val="24"/>
                <w:szCs w:val="20"/>
              </w:rPr>
              <w:t>3.000 EUR fiecărui reclamant (prejudiciu moral)</w:t>
            </w:r>
          </w:p>
          <w:p w14:paraId="2B3BA897" w14:textId="45FDE6D8" w:rsidR="0017299D" w:rsidRPr="00255CE0" w:rsidRDefault="0017299D" w:rsidP="0017299D">
            <w:pPr>
              <w:jc w:val="center"/>
              <w:rPr>
                <w:sz w:val="24"/>
                <w:szCs w:val="20"/>
              </w:rPr>
            </w:pPr>
            <w:r w:rsidRPr="00255CE0">
              <w:rPr>
                <w:sz w:val="24"/>
                <w:szCs w:val="20"/>
              </w:rPr>
              <w:t>2.500 EUR fiecărui reclamant (costuri și cheltuieli)</w:t>
            </w:r>
          </w:p>
        </w:tc>
      </w:tr>
      <w:tr w:rsidR="0017299D" w:rsidRPr="00255CE0" w14:paraId="54ACF9A1" w14:textId="77777777" w:rsidTr="00EA4515">
        <w:tc>
          <w:tcPr>
            <w:tcW w:w="534" w:type="dxa"/>
          </w:tcPr>
          <w:p w14:paraId="5DB08983" w14:textId="1248B013" w:rsidR="0017299D" w:rsidRPr="00255CE0" w:rsidRDefault="0017299D" w:rsidP="0017299D">
            <w:pPr>
              <w:jc w:val="center"/>
              <w:rPr>
                <w:sz w:val="24"/>
                <w:szCs w:val="20"/>
              </w:rPr>
            </w:pPr>
            <w:r w:rsidRPr="00255CE0">
              <w:rPr>
                <w:sz w:val="24"/>
                <w:szCs w:val="20"/>
              </w:rPr>
              <w:t>11</w:t>
            </w:r>
          </w:p>
        </w:tc>
        <w:tc>
          <w:tcPr>
            <w:tcW w:w="1549" w:type="dxa"/>
          </w:tcPr>
          <w:p w14:paraId="38505DD4" w14:textId="77777777" w:rsidR="0017299D" w:rsidRPr="00255CE0" w:rsidRDefault="0017299D" w:rsidP="0017299D">
            <w:pPr>
              <w:jc w:val="center"/>
              <w:rPr>
                <w:sz w:val="24"/>
                <w:szCs w:val="20"/>
              </w:rPr>
            </w:pPr>
            <w:r w:rsidRPr="00255CE0">
              <w:rPr>
                <w:sz w:val="24"/>
                <w:szCs w:val="20"/>
              </w:rPr>
              <w:t>Art. 2 – Dreptul la viață</w:t>
            </w:r>
          </w:p>
          <w:p w14:paraId="6D74DA2C" w14:textId="77777777" w:rsidR="0017299D" w:rsidRPr="00255CE0" w:rsidRDefault="0017299D" w:rsidP="0017299D">
            <w:pPr>
              <w:jc w:val="center"/>
              <w:rPr>
                <w:sz w:val="24"/>
                <w:szCs w:val="20"/>
              </w:rPr>
            </w:pPr>
            <w:r w:rsidRPr="00255CE0">
              <w:rPr>
                <w:sz w:val="24"/>
                <w:szCs w:val="20"/>
              </w:rPr>
              <w:t>Art. 3 – Interzicerea totrturii</w:t>
            </w:r>
          </w:p>
          <w:p w14:paraId="77BDB5E0" w14:textId="77777777" w:rsidR="0017299D" w:rsidRPr="00255CE0" w:rsidRDefault="0017299D" w:rsidP="0017299D">
            <w:pPr>
              <w:jc w:val="center"/>
              <w:rPr>
                <w:sz w:val="24"/>
                <w:szCs w:val="20"/>
              </w:rPr>
            </w:pPr>
            <w:r w:rsidRPr="00255CE0">
              <w:rPr>
                <w:sz w:val="24"/>
                <w:szCs w:val="20"/>
              </w:rPr>
              <w:t>Art. 5 – Dreptul la libertate și la siguranță</w:t>
            </w:r>
          </w:p>
          <w:p w14:paraId="3C8FD980" w14:textId="77777777" w:rsidR="0017299D" w:rsidRPr="00255CE0" w:rsidRDefault="0017299D" w:rsidP="0017299D">
            <w:pPr>
              <w:jc w:val="center"/>
              <w:rPr>
                <w:sz w:val="24"/>
                <w:szCs w:val="20"/>
              </w:rPr>
            </w:pPr>
            <w:r w:rsidRPr="00255CE0">
              <w:rPr>
                <w:sz w:val="24"/>
                <w:szCs w:val="20"/>
              </w:rPr>
              <w:t>Art. 6 – Dreptul la un proces echitabil</w:t>
            </w:r>
          </w:p>
          <w:p w14:paraId="0346A266" w14:textId="77777777" w:rsidR="0017299D" w:rsidRPr="00255CE0" w:rsidRDefault="0017299D" w:rsidP="0017299D">
            <w:pPr>
              <w:jc w:val="center"/>
              <w:rPr>
                <w:sz w:val="24"/>
                <w:szCs w:val="20"/>
              </w:rPr>
            </w:pPr>
            <w:r w:rsidRPr="00255CE0">
              <w:rPr>
                <w:sz w:val="24"/>
                <w:szCs w:val="20"/>
              </w:rPr>
              <w:t>Art. 7 – Nicio pedeapsă fără lege</w:t>
            </w:r>
          </w:p>
          <w:p w14:paraId="0212771F" w14:textId="77777777" w:rsidR="0017299D" w:rsidRPr="00255CE0" w:rsidRDefault="0017299D" w:rsidP="0017299D">
            <w:pPr>
              <w:jc w:val="center"/>
              <w:rPr>
                <w:sz w:val="24"/>
                <w:szCs w:val="20"/>
              </w:rPr>
            </w:pPr>
            <w:r w:rsidRPr="00255CE0">
              <w:rPr>
                <w:sz w:val="24"/>
                <w:szCs w:val="20"/>
              </w:rPr>
              <w:t>Art. 8 – Dreptul la respectarea vieții private și de familie</w:t>
            </w:r>
          </w:p>
          <w:p w14:paraId="4DD14378" w14:textId="77777777" w:rsidR="0017299D" w:rsidRPr="00255CE0" w:rsidRDefault="0017299D" w:rsidP="0017299D">
            <w:pPr>
              <w:jc w:val="center"/>
              <w:rPr>
                <w:sz w:val="24"/>
                <w:szCs w:val="20"/>
              </w:rPr>
            </w:pPr>
            <w:r w:rsidRPr="00255CE0">
              <w:rPr>
                <w:sz w:val="24"/>
                <w:szCs w:val="20"/>
              </w:rPr>
              <w:t xml:space="preserve">Art. 9 – Libertatea de gândire, de </w:t>
            </w:r>
            <w:r w:rsidRPr="00255CE0">
              <w:rPr>
                <w:sz w:val="24"/>
                <w:szCs w:val="20"/>
              </w:rPr>
              <w:lastRenderedPageBreak/>
              <w:t>conștiință și de religie</w:t>
            </w:r>
          </w:p>
          <w:p w14:paraId="4E0F04EC" w14:textId="77777777" w:rsidR="0017299D" w:rsidRPr="00255CE0" w:rsidRDefault="0017299D" w:rsidP="0017299D">
            <w:pPr>
              <w:jc w:val="center"/>
              <w:rPr>
                <w:sz w:val="24"/>
                <w:szCs w:val="20"/>
              </w:rPr>
            </w:pPr>
            <w:r w:rsidRPr="00255CE0">
              <w:rPr>
                <w:sz w:val="24"/>
                <w:szCs w:val="20"/>
              </w:rPr>
              <w:t>Art. 10 – Libertatea de exprimare</w:t>
            </w:r>
          </w:p>
          <w:p w14:paraId="7487C0EF" w14:textId="77777777" w:rsidR="0017299D" w:rsidRPr="00255CE0" w:rsidRDefault="0017299D" w:rsidP="0017299D">
            <w:pPr>
              <w:jc w:val="center"/>
              <w:rPr>
                <w:sz w:val="24"/>
                <w:szCs w:val="20"/>
              </w:rPr>
            </w:pPr>
            <w:r w:rsidRPr="00255CE0">
              <w:rPr>
                <w:sz w:val="24"/>
                <w:szCs w:val="20"/>
              </w:rPr>
              <w:t>Art. 11 – Libertatea de întrunire și de asociere</w:t>
            </w:r>
          </w:p>
          <w:p w14:paraId="5D83A54A" w14:textId="77777777" w:rsidR="0017299D" w:rsidRPr="00255CE0" w:rsidRDefault="0017299D" w:rsidP="0017299D">
            <w:pPr>
              <w:jc w:val="center"/>
              <w:rPr>
                <w:sz w:val="24"/>
                <w:szCs w:val="20"/>
              </w:rPr>
            </w:pPr>
            <w:r w:rsidRPr="00255CE0">
              <w:rPr>
                <w:sz w:val="24"/>
                <w:szCs w:val="20"/>
              </w:rPr>
              <w:t>Art. 14 – Interzicerea discriminării</w:t>
            </w:r>
          </w:p>
          <w:p w14:paraId="56B416E4" w14:textId="77777777" w:rsidR="0017299D" w:rsidRPr="00255CE0" w:rsidRDefault="0017299D" w:rsidP="0017299D">
            <w:pPr>
              <w:jc w:val="center"/>
              <w:rPr>
                <w:sz w:val="24"/>
                <w:szCs w:val="20"/>
              </w:rPr>
            </w:pPr>
            <w:r w:rsidRPr="00255CE0">
              <w:rPr>
                <w:sz w:val="24"/>
                <w:szCs w:val="20"/>
              </w:rPr>
              <w:t>Art. 18 – Limitarea folosirilor restrângerilor drepturilor</w:t>
            </w:r>
          </w:p>
          <w:p w14:paraId="1317128C" w14:textId="727FE616" w:rsidR="0017299D" w:rsidRPr="00255CE0" w:rsidRDefault="0017299D" w:rsidP="0017299D">
            <w:pPr>
              <w:jc w:val="center"/>
              <w:rPr>
                <w:sz w:val="24"/>
                <w:szCs w:val="20"/>
              </w:rPr>
            </w:pPr>
            <w:r w:rsidRPr="00255CE0">
              <w:rPr>
                <w:sz w:val="24"/>
                <w:szCs w:val="20"/>
              </w:rPr>
              <w:t>Art. 1 din Prot</w:t>
            </w:r>
            <w:r>
              <w:rPr>
                <w:sz w:val="24"/>
                <w:szCs w:val="20"/>
              </w:rPr>
              <w:t>.</w:t>
            </w:r>
            <w:r w:rsidRPr="00255CE0">
              <w:rPr>
                <w:sz w:val="24"/>
                <w:szCs w:val="20"/>
              </w:rPr>
              <w:t xml:space="preserve"> nr. 1 – Protecția proprietății</w:t>
            </w:r>
          </w:p>
          <w:p w14:paraId="2E60ACC9" w14:textId="1A9E75E6" w:rsidR="0017299D" w:rsidRPr="00255CE0" w:rsidRDefault="0017299D" w:rsidP="0017299D">
            <w:pPr>
              <w:jc w:val="center"/>
              <w:rPr>
                <w:sz w:val="24"/>
                <w:szCs w:val="20"/>
              </w:rPr>
            </w:pPr>
            <w:r w:rsidRPr="00255CE0">
              <w:rPr>
                <w:sz w:val="24"/>
                <w:szCs w:val="20"/>
              </w:rPr>
              <w:t>Art. 1 din Prot</w:t>
            </w:r>
            <w:r>
              <w:rPr>
                <w:sz w:val="24"/>
                <w:szCs w:val="20"/>
              </w:rPr>
              <w:t>.</w:t>
            </w:r>
            <w:r w:rsidRPr="00255CE0">
              <w:rPr>
                <w:sz w:val="24"/>
                <w:szCs w:val="20"/>
              </w:rPr>
              <w:t xml:space="preserve"> nr. 2 – Dreptul la instruire</w:t>
            </w:r>
          </w:p>
          <w:p w14:paraId="4C624656" w14:textId="469B49EF" w:rsidR="0017299D" w:rsidRPr="00255CE0" w:rsidRDefault="0017299D" w:rsidP="0017299D">
            <w:pPr>
              <w:jc w:val="center"/>
              <w:rPr>
                <w:sz w:val="24"/>
                <w:szCs w:val="20"/>
              </w:rPr>
            </w:pPr>
            <w:r w:rsidRPr="00255CE0">
              <w:rPr>
                <w:sz w:val="24"/>
                <w:szCs w:val="20"/>
              </w:rPr>
              <w:t>Art. 2 din Prot</w:t>
            </w:r>
            <w:r>
              <w:rPr>
                <w:sz w:val="24"/>
                <w:szCs w:val="20"/>
              </w:rPr>
              <w:t>.</w:t>
            </w:r>
            <w:r w:rsidRPr="00255CE0">
              <w:rPr>
                <w:sz w:val="24"/>
                <w:szCs w:val="20"/>
              </w:rPr>
              <w:t xml:space="preserve"> nr. 4 – Libertatea de circulație</w:t>
            </w:r>
          </w:p>
          <w:p w14:paraId="589843A6" w14:textId="747F0249" w:rsidR="0017299D" w:rsidRPr="00255CE0" w:rsidRDefault="0017299D" w:rsidP="0017299D">
            <w:pPr>
              <w:jc w:val="center"/>
              <w:rPr>
                <w:sz w:val="24"/>
                <w:szCs w:val="20"/>
              </w:rPr>
            </w:pPr>
            <w:r w:rsidRPr="00255CE0">
              <w:rPr>
                <w:sz w:val="24"/>
                <w:szCs w:val="20"/>
              </w:rPr>
              <w:t>Art. 38 – Examinarea contradictorie a cauzei</w:t>
            </w:r>
          </w:p>
        </w:tc>
        <w:tc>
          <w:tcPr>
            <w:tcW w:w="2029" w:type="dxa"/>
          </w:tcPr>
          <w:p w14:paraId="64682812" w14:textId="2B8F0EE2" w:rsidR="0017299D" w:rsidRPr="00255CE0" w:rsidRDefault="0017299D" w:rsidP="0017299D">
            <w:pPr>
              <w:jc w:val="center"/>
              <w:rPr>
                <w:sz w:val="24"/>
                <w:szCs w:val="20"/>
              </w:rPr>
            </w:pPr>
            <w:r w:rsidRPr="00255CE0">
              <w:rPr>
                <w:sz w:val="24"/>
                <w:szCs w:val="20"/>
              </w:rPr>
              <w:lastRenderedPageBreak/>
              <w:t xml:space="preserve">Cauză interstatală, jurisdicție extrateritorială, control efectiv al teritoriului, practici administrative, încălcări structurale ale drepturilor fundamentale, dreptul la viață, interzicerea totrturii, dreptul la libertate și la siguranță, dreptul la un proces echitabil, nicio pedeapsă fără lege, dreptul la respectarea vieții private și de familie, libertatea de gândire, de conștiință și de religie, libertatea de exprimare, </w:t>
            </w:r>
            <w:r w:rsidRPr="00255CE0">
              <w:rPr>
                <w:sz w:val="24"/>
                <w:szCs w:val="20"/>
              </w:rPr>
              <w:lastRenderedPageBreak/>
              <w:t>libertatea de întrunire și de asociere, interzicerea discriminării, limitarea folosirilor restrângerilor drepturilor, protecția proprietății, dreptul la instruire, libertatea de circulație, examinarea contradictorie a cauzei</w:t>
            </w:r>
          </w:p>
        </w:tc>
        <w:tc>
          <w:tcPr>
            <w:tcW w:w="1436" w:type="dxa"/>
          </w:tcPr>
          <w:p w14:paraId="0AD6228B" w14:textId="5EA77902" w:rsidR="0017299D" w:rsidRPr="00915628" w:rsidRDefault="0017299D" w:rsidP="0017299D">
            <w:pPr>
              <w:jc w:val="center"/>
              <w:rPr>
                <w:sz w:val="24"/>
                <w:szCs w:val="20"/>
                <w:lang w:val="en-US"/>
              </w:rPr>
            </w:pPr>
            <w:r w:rsidRPr="00255CE0">
              <w:rPr>
                <w:sz w:val="24"/>
                <w:szCs w:val="20"/>
              </w:rPr>
              <w:lastRenderedPageBreak/>
              <w:t>25.06.2024, Ucraina c. Rusia (cu privire la Crimeea)</w:t>
            </w:r>
            <w:r>
              <w:rPr>
                <w:sz w:val="24"/>
                <w:szCs w:val="20"/>
              </w:rPr>
              <w:t xml:space="preserve"> </w:t>
            </w:r>
            <w:r>
              <w:rPr>
                <w:sz w:val="24"/>
                <w:szCs w:val="20"/>
                <w:lang w:val="en-US"/>
              </w:rPr>
              <w:t>[MC]</w:t>
            </w:r>
          </w:p>
        </w:tc>
        <w:tc>
          <w:tcPr>
            <w:tcW w:w="1816" w:type="dxa"/>
          </w:tcPr>
          <w:p w14:paraId="53F7E677" w14:textId="68BE812A" w:rsidR="0017299D" w:rsidRPr="00255CE0" w:rsidRDefault="0017299D" w:rsidP="0017299D">
            <w:pPr>
              <w:jc w:val="center"/>
              <w:rPr>
                <w:sz w:val="24"/>
                <w:szCs w:val="20"/>
              </w:rPr>
            </w:pPr>
            <w:r w:rsidRPr="00255CE0">
              <w:rPr>
                <w:sz w:val="24"/>
                <w:szCs w:val="20"/>
              </w:rPr>
              <w:t xml:space="preserve">Ucraina, Rusia, Crimeea, anexare, ocupație, jurisdicție extrateritorială, drept internațional umanitar, control efectiv al teritoriului, practici administrative, etnici ucraineni, tătari crimeeni, violări ale drepturilor fundamentale, detenții arbitrare, rele tratamente, dispariții forțate, lipsa remediilor efective, naționalizări, discriminare, </w:t>
            </w:r>
            <w:r w:rsidRPr="00255CE0">
              <w:rPr>
                <w:sz w:val="24"/>
                <w:szCs w:val="20"/>
              </w:rPr>
              <w:lastRenderedPageBreak/>
              <w:t>procese inechitabile</w:t>
            </w:r>
          </w:p>
        </w:tc>
        <w:tc>
          <w:tcPr>
            <w:tcW w:w="2002" w:type="dxa"/>
          </w:tcPr>
          <w:p w14:paraId="6BA9725D" w14:textId="7CCD99EA" w:rsidR="0017299D" w:rsidRPr="00255CE0" w:rsidRDefault="0017299D" w:rsidP="0017299D">
            <w:pPr>
              <w:jc w:val="both"/>
              <w:rPr>
                <w:sz w:val="24"/>
                <w:szCs w:val="20"/>
              </w:rPr>
            </w:pPr>
            <w:r w:rsidRPr="00255CE0">
              <w:rPr>
                <w:sz w:val="24"/>
                <w:szCs w:val="20"/>
              </w:rPr>
              <w:lastRenderedPageBreak/>
              <w:t>– CtEDO a constatat că Rusia a exercitat control efectiv asupra pensinsulei Crimeea începând cu 27 februarie 2014 și că faptele invocate intră în domeniul de aplciare al CoEDO până la data de 16 septembrie 2022 când Rusia a încetat să fie parte la CoEDO.</w:t>
            </w:r>
          </w:p>
          <w:p w14:paraId="2946AD0D" w14:textId="1C070AE9" w:rsidR="0017299D" w:rsidRDefault="0017299D" w:rsidP="0017299D">
            <w:pPr>
              <w:jc w:val="both"/>
              <w:rPr>
                <w:sz w:val="24"/>
                <w:szCs w:val="20"/>
              </w:rPr>
            </w:pPr>
            <w:r w:rsidRPr="00255CE0">
              <w:rPr>
                <w:sz w:val="24"/>
                <w:szCs w:val="20"/>
              </w:rPr>
              <w:t>– CtEDO a reținut că Rusia a încălcat normele de drept internațional umanita, Rusia înlocuind</w:t>
            </w:r>
            <w:r>
              <w:rPr>
                <w:sz w:val="24"/>
                <w:szCs w:val="20"/>
              </w:rPr>
              <w:t xml:space="preserve"> </w:t>
            </w:r>
            <w:r w:rsidRPr="00255CE0">
              <w:rPr>
                <w:sz w:val="24"/>
                <w:szCs w:val="20"/>
              </w:rPr>
              <w:t>legislația</w:t>
            </w:r>
            <w:r>
              <w:rPr>
                <w:sz w:val="24"/>
                <w:szCs w:val="20"/>
              </w:rPr>
              <w:t xml:space="preserve"> </w:t>
            </w:r>
            <w:r w:rsidRPr="00255CE0">
              <w:rPr>
                <w:sz w:val="24"/>
                <w:szCs w:val="20"/>
              </w:rPr>
              <w:t>ucraineană cu cea</w:t>
            </w:r>
            <w:r>
              <w:rPr>
                <w:sz w:val="24"/>
                <w:szCs w:val="20"/>
              </w:rPr>
              <w:t xml:space="preserve"> </w:t>
            </w:r>
            <w:r w:rsidRPr="00255CE0">
              <w:rPr>
                <w:sz w:val="24"/>
                <w:szCs w:val="20"/>
              </w:rPr>
              <w:t>rusă</w:t>
            </w:r>
            <w:r>
              <w:rPr>
                <w:sz w:val="24"/>
                <w:szCs w:val="20"/>
              </w:rPr>
              <w:t xml:space="preserve"> </w:t>
            </w:r>
            <w:r w:rsidRPr="00255CE0">
              <w:rPr>
                <w:sz w:val="24"/>
                <w:szCs w:val="20"/>
              </w:rPr>
              <w:t xml:space="preserve">după 18 martie 2014 când </w:t>
            </w:r>
            <w:r w:rsidRPr="00255CE0">
              <w:rPr>
                <w:sz w:val="24"/>
                <w:szCs w:val="20"/>
              </w:rPr>
              <w:lastRenderedPageBreak/>
              <w:t>a avut loc semnarea</w:t>
            </w:r>
            <w:r>
              <w:rPr>
                <w:sz w:val="24"/>
                <w:szCs w:val="20"/>
              </w:rPr>
              <w:t xml:space="preserve"> „Tratatului de Aderare”. Prin urmare, măsurile întreprinse de Rusia nu pot fi considerate „lege” în conformitate cu dispozițiile CoEDO, ci reprezintă practici administrative.</w:t>
            </w:r>
          </w:p>
          <w:p w14:paraId="6851575E" w14:textId="5A4829A8" w:rsidR="0017299D" w:rsidRPr="00255CE0" w:rsidRDefault="0017299D" w:rsidP="0017299D">
            <w:pPr>
              <w:jc w:val="both"/>
              <w:rPr>
                <w:sz w:val="24"/>
                <w:szCs w:val="20"/>
              </w:rPr>
            </w:pPr>
            <w:r w:rsidRPr="00255CE0">
              <w:rPr>
                <w:sz w:val="24"/>
                <w:szCs w:val="20"/>
              </w:rPr>
              <w:t>– CtEDO</w:t>
            </w:r>
            <w:r>
              <w:rPr>
                <w:sz w:val="24"/>
                <w:szCs w:val="20"/>
              </w:rPr>
              <w:t xml:space="preserve"> a constatat că Rusia a comis numeroase încălcări ale CoEDO, reținând, de asemenea, </w:t>
            </w:r>
            <w:r w:rsidRPr="00255CE0">
              <w:rPr>
                <w:sz w:val="24"/>
                <w:szCs w:val="20"/>
              </w:rPr>
              <w:t xml:space="preserve">inexistența unor căi de atac efective pentru victimele acestor încălcări și caracterul discriminatoriu al anumitor măsuri, în special în raport cu persoane percepute ca fiind loiale Ucrainei. </w:t>
            </w:r>
          </w:p>
        </w:tc>
        <w:tc>
          <w:tcPr>
            <w:tcW w:w="2340" w:type="dxa"/>
          </w:tcPr>
          <w:p w14:paraId="38262BCF" w14:textId="77777777" w:rsidR="0017299D" w:rsidRPr="00255CE0" w:rsidRDefault="0017299D" w:rsidP="0017299D">
            <w:pPr>
              <w:jc w:val="center"/>
              <w:rPr>
                <w:sz w:val="24"/>
                <w:szCs w:val="20"/>
              </w:rPr>
            </w:pPr>
            <w:r w:rsidRPr="00255CE0">
              <w:rPr>
                <w:sz w:val="24"/>
                <w:szCs w:val="20"/>
              </w:rPr>
              <w:lastRenderedPageBreak/>
              <w:t>Încălcarea art. 2 sub aspect substanțial și procedural</w:t>
            </w:r>
          </w:p>
          <w:p w14:paraId="6A38DFE3" w14:textId="77777777" w:rsidR="0017299D" w:rsidRPr="00255CE0" w:rsidRDefault="0017299D" w:rsidP="0017299D">
            <w:pPr>
              <w:jc w:val="center"/>
              <w:rPr>
                <w:sz w:val="24"/>
                <w:szCs w:val="20"/>
              </w:rPr>
            </w:pPr>
            <w:r w:rsidRPr="00255CE0">
              <w:rPr>
                <w:sz w:val="24"/>
                <w:szCs w:val="20"/>
              </w:rPr>
              <w:t>Încălcarea art. 3 sub aspect subtanțial și procedural</w:t>
            </w:r>
          </w:p>
          <w:p w14:paraId="7B8503E7" w14:textId="77777777" w:rsidR="0017299D" w:rsidRPr="00255CE0" w:rsidRDefault="0017299D" w:rsidP="0017299D">
            <w:pPr>
              <w:jc w:val="center"/>
              <w:rPr>
                <w:sz w:val="24"/>
                <w:szCs w:val="20"/>
              </w:rPr>
            </w:pPr>
            <w:r w:rsidRPr="00255CE0">
              <w:rPr>
                <w:sz w:val="24"/>
                <w:szCs w:val="20"/>
              </w:rPr>
              <w:t>Încălcarea art. 5</w:t>
            </w:r>
          </w:p>
          <w:p w14:paraId="58233A1E" w14:textId="11E0508A" w:rsidR="0017299D" w:rsidRPr="00255CE0" w:rsidRDefault="0017299D" w:rsidP="0017299D">
            <w:pPr>
              <w:jc w:val="center"/>
              <w:rPr>
                <w:sz w:val="24"/>
                <w:szCs w:val="20"/>
              </w:rPr>
            </w:pPr>
            <w:r w:rsidRPr="00255CE0">
              <w:rPr>
                <w:sz w:val="24"/>
                <w:szCs w:val="20"/>
              </w:rPr>
              <w:t>Încălcarea art. 6</w:t>
            </w:r>
          </w:p>
          <w:p w14:paraId="7249A2E5" w14:textId="7736467D" w:rsidR="0017299D" w:rsidRPr="00255CE0" w:rsidRDefault="0017299D" w:rsidP="0017299D">
            <w:pPr>
              <w:jc w:val="center"/>
              <w:rPr>
                <w:sz w:val="24"/>
                <w:szCs w:val="20"/>
              </w:rPr>
            </w:pPr>
            <w:r w:rsidRPr="00255CE0">
              <w:rPr>
                <w:sz w:val="24"/>
                <w:szCs w:val="20"/>
              </w:rPr>
              <w:t>Încălcarea art. 7</w:t>
            </w:r>
          </w:p>
          <w:p w14:paraId="5342FEC7" w14:textId="77777777" w:rsidR="0017299D" w:rsidRPr="00255CE0" w:rsidRDefault="0017299D" w:rsidP="0017299D">
            <w:pPr>
              <w:jc w:val="center"/>
              <w:rPr>
                <w:sz w:val="24"/>
                <w:szCs w:val="20"/>
              </w:rPr>
            </w:pPr>
            <w:r w:rsidRPr="00255CE0">
              <w:rPr>
                <w:sz w:val="24"/>
                <w:szCs w:val="20"/>
              </w:rPr>
              <w:t>Încălcarea art. 8</w:t>
            </w:r>
          </w:p>
          <w:p w14:paraId="2C1743FE" w14:textId="77777777" w:rsidR="0017299D" w:rsidRPr="00255CE0" w:rsidRDefault="0017299D" w:rsidP="0017299D">
            <w:pPr>
              <w:jc w:val="center"/>
              <w:rPr>
                <w:sz w:val="24"/>
                <w:szCs w:val="20"/>
              </w:rPr>
            </w:pPr>
            <w:r w:rsidRPr="00255CE0">
              <w:rPr>
                <w:sz w:val="24"/>
                <w:szCs w:val="20"/>
              </w:rPr>
              <w:t>Încălcarea art. 9</w:t>
            </w:r>
          </w:p>
          <w:p w14:paraId="7618878D" w14:textId="77777777" w:rsidR="0017299D" w:rsidRPr="00255CE0" w:rsidRDefault="0017299D" w:rsidP="0017299D">
            <w:pPr>
              <w:jc w:val="center"/>
              <w:rPr>
                <w:sz w:val="24"/>
                <w:szCs w:val="20"/>
              </w:rPr>
            </w:pPr>
            <w:r w:rsidRPr="00255CE0">
              <w:rPr>
                <w:sz w:val="24"/>
                <w:szCs w:val="20"/>
              </w:rPr>
              <w:t>Încălcarea art. 10</w:t>
            </w:r>
          </w:p>
          <w:p w14:paraId="287AAC27" w14:textId="77777777" w:rsidR="0017299D" w:rsidRPr="00255CE0" w:rsidRDefault="0017299D" w:rsidP="0017299D">
            <w:pPr>
              <w:jc w:val="center"/>
              <w:rPr>
                <w:sz w:val="24"/>
                <w:szCs w:val="20"/>
              </w:rPr>
            </w:pPr>
            <w:r w:rsidRPr="00255CE0">
              <w:rPr>
                <w:sz w:val="24"/>
                <w:szCs w:val="20"/>
              </w:rPr>
              <w:t>Încălcarea art. 11</w:t>
            </w:r>
          </w:p>
          <w:p w14:paraId="7015242C" w14:textId="36FAD9ED" w:rsidR="0017299D" w:rsidRPr="00255CE0" w:rsidRDefault="0017299D" w:rsidP="0017299D">
            <w:pPr>
              <w:jc w:val="center"/>
              <w:rPr>
                <w:sz w:val="24"/>
                <w:szCs w:val="20"/>
              </w:rPr>
            </w:pPr>
            <w:r w:rsidRPr="00255CE0">
              <w:rPr>
                <w:sz w:val="24"/>
                <w:szCs w:val="20"/>
              </w:rPr>
              <w:t>Încălcarea art. 14 coroborat cu art. 8, 9, 10, 11 și art. 2 din Prot</w:t>
            </w:r>
            <w:r>
              <w:rPr>
                <w:sz w:val="24"/>
                <w:szCs w:val="20"/>
              </w:rPr>
              <w:t>.</w:t>
            </w:r>
            <w:r w:rsidRPr="00255CE0">
              <w:rPr>
                <w:sz w:val="24"/>
                <w:szCs w:val="20"/>
              </w:rPr>
              <w:t xml:space="preserve"> nr. 4</w:t>
            </w:r>
          </w:p>
          <w:p w14:paraId="4FB505B6" w14:textId="64B77B93" w:rsidR="0017299D" w:rsidRPr="00255CE0" w:rsidRDefault="0017299D" w:rsidP="0017299D">
            <w:pPr>
              <w:jc w:val="center"/>
              <w:rPr>
                <w:sz w:val="24"/>
                <w:szCs w:val="20"/>
              </w:rPr>
            </w:pPr>
            <w:r w:rsidRPr="00255CE0">
              <w:rPr>
                <w:sz w:val="24"/>
                <w:szCs w:val="20"/>
              </w:rPr>
              <w:t>Încălcarea art. 18 coroborat cu art. 5, 6, 8, 10 și 11</w:t>
            </w:r>
          </w:p>
          <w:p w14:paraId="3648060F" w14:textId="041D444C" w:rsidR="0017299D" w:rsidRPr="00255CE0" w:rsidRDefault="0017299D" w:rsidP="0017299D">
            <w:pPr>
              <w:jc w:val="center"/>
              <w:rPr>
                <w:sz w:val="24"/>
                <w:szCs w:val="20"/>
              </w:rPr>
            </w:pPr>
            <w:r w:rsidRPr="00255CE0">
              <w:rPr>
                <w:sz w:val="24"/>
                <w:szCs w:val="20"/>
              </w:rPr>
              <w:t>Încălcarea art. 38</w:t>
            </w:r>
          </w:p>
          <w:p w14:paraId="67FE92CB" w14:textId="5F895C10" w:rsidR="0017299D" w:rsidRPr="00255CE0" w:rsidRDefault="0017299D" w:rsidP="0017299D">
            <w:pPr>
              <w:jc w:val="center"/>
              <w:rPr>
                <w:sz w:val="24"/>
                <w:szCs w:val="20"/>
              </w:rPr>
            </w:pPr>
            <w:r w:rsidRPr="00255CE0">
              <w:rPr>
                <w:sz w:val="24"/>
                <w:szCs w:val="20"/>
              </w:rPr>
              <w:t>Încălcarea art. 1 din Prot</w:t>
            </w:r>
            <w:r>
              <w:rPr>
                <w:sz w:val="24"/>
                <w:szCs w:val="20"/>
              </w:rPr>
              <w:t>.</w:t>
            </w:r>
            <w:r w:rsidRPr="00255CE0">
              <w:rPr>
                <w:sz w:val="24"/>
                <w:szCs w:val="20"/>
              </w:rPr>
              <w:t xml:space="preserve"> nr. 1</w:t>
            </w:r>
          </w:p>
          <w:p w14:paraId="044788A5" w14:textId="6371A946" w:rsidR="0017299D" w:rsidRPr="00255CE0" w:rsidRDefault="0017299D" w:rsidP="0017299D">
            <w:pPr>
              <w:jc w:val="center"/>
              <w:rPr>
                <w:sz w:val="24"/>
                <w:szCs w:val="20"/>
              </w:rPr>
            </w:pPr>
            <w:r w:rsidRPr="00255CE0">
              <w:rPr>
                <w:sz w:val="24"/>
                <w:szCs w:val="20"/>
              </w:rPr>
              <w:t>Încălcarea art. 2 din Prot</w:t>
            </w:r>
            <w:r>
              <w:rPr>
                <w:sz w:val="24"/>
                <w:szCs w:val="20"/>
              </w:rPr>
              <w:t>.</w:t>
            </w:r>
            <w:r w:rsidRPr="00255CE0">
              <w:rPr>
                <w:sz w:val="24"/>
                <w:szCs w:val="20"/>
              </w:rPr>
              <w:t xml:space="preserve"> nr. 1</w:t>
            </w:r>
          </w:p>
          <w:p w14:paraId="06BD6170" w14:textId="5802DB8B" w:rsidR="0017299D" w:rsidRPr="00255CE0" w:rsidRDefault="0017299D" w:rsidP="0017299D">
            <w:pPr>
              <w:jc w:val="center"/>
              <w:rPr>
                <w:sz w:val="24"/>
                <w:szCs w:val="20"/>
              </w:rPr>
            </w:pPr>
            <w:r w:rsidRPr="00255CE0">
              <w:rPr>
                <w:sz w:val="24"/>
                <w:szCs w:val="20"/>
              </w:rPr>
              <w:t>Încălcarea art. 2 din Prot</w:t>
            </w:r>
            <w:r>
              <w:rPr>
                <w:sz w:val="24"/>
                <w:szCs w:val="20"/>
              </w:rPr>
              <w:t>.</w:t>
            </w:r>
            <w:r w:rsidRPr="00255CE0">
              <w:rPr>
                <w:sz w:val="24"/>
                <w:szCs w:val="20"/>
              </w:rPr>
              <w:t xml:space="preserve"> nr. 4</w:t>
            </w:r>
          </w:p>
          <w:p w14:paraId="13919FD2" w14:textId="176003FE" w:rsidR="0017299D" w:rsidRPr="00255CE0" w:rsidRDefault="0017299D" w:rsidP="0017299D">
            <w:pPr>
              <w:jc w:val="center"/>
              <w:rPr>
                <w:sz w:val="24"/>
                <w:szCs w:val="20"/>
              </w:rPr>
            </w:pPr>
            <w:r w:rsidRPr="00A71CD6">
              <w:rPr>
                <w:sz w:val="24"/>
                <w:szCs w:val="20"/>
              </w:rPr>
              <w:lastRenderedPageBreak/>
              <w:t xml:space="preserve">În temeiul </w:t>
            </w:r>
            <w:r>
              <w:rPr>
                <w:sz w:val="24"/>
                <w:szCs w:val="20"/>
              </w:rPr>
              <w:t>a</w:t>
            </w:r>
            <w:r w:rsidRPr="00A71CD6">
              <w:rPr>
                <w:sz w:val="24"/>
                <w:szCs w:val="20"/>
              </w:rPr>
              <w:t>rt. 46</w:t>
            </w:r>
            <w:r>
              <w:rPr>
                <w:sz w:val="24"/>
                <w:szCs w:val="20"/>
              </w:rPr>
              <w:t xml:space="preserve">, CtEDO </w:t>
            </w:r>
            <w:r w:rsidRPr="00A71CD6">
              <w:rPr>
                <w:sz w:val="24"/>
                <w:szCs w:val="20"/>
              </w:rPr>
              <w:t xml:space="preserve">a indicat </w:t>
            </w:r>
            <w:r>
              <w:rPr>
                <w:sz w:val="24"/>
                <w:szCs w:val="20"/>
              </w:rPr>
              <w:t xml:space="preserve">numeroase </w:t>
            </w:r>
            <w:r w:rsidRPr="00A71CD6">
              <w:rPr>
                <w:sz w:val="24"/>
                <w:szCs w:val="20"/>
              </w:rPr>
              <w:t>măsuri</w:t>
            </w:r>
            <w:r>
              <w:rPr>
                <w:sz w:val="24"/>
                <w:szCs w:val="20"/>
              </w:rPr>
              <w:t xml:space="preserve"> generale pe care Rusia este obligată să le întreprindă. În mod direct, aceasta a obligat</w:t>
            </w:r>
            <w:r w:rsidRPr="00A71CD6">
              <w:rPr>
                <w:sz w:val="24"/>
                <w:szCs w:val="20"/>
              </w:rPr>
              <w:t xml:space="preserve"> </w:t>
            </w:r>
            <w:r>
              <w:rPr>
                <w:sz w:val="24"/>
                <w:szCs w:val="20"/>
              </w:rPr>
              <w:t>Rusia</w:t>
            </w:r>
            <w:r w:rsidRPr="00A71CD6">
              <w:rPr>
                <w:sz w:val="24"/>
                <w:szCs w:val="20"/>
              </w:rPr>
              <w:t xml:space="preserve"> să ia toate măsurile necesare pentru asigurarea returnării în siguranță a deținuților transferați din Crimeea. Aplicarea Art. 41 a fost rezervată</w:t>
            </w:r>
            <w:r>
              <w:rPr>
                <w:sz w:val="24"/>
                <w:szCs w:val="20"/>
              </w:rPr>
              <w:t xml:space="preserve"> pentru o etapă ulterioară</w:t>
            </w:r>
            <w:r w:rsidRPr="00A71CD6">
              <w:rPr>
                <w:sz w:val="24"/>
                <w:szCs w:val="20"/>
              </w:rPr>
              <w:t>, cauza rămânând pendinte sub acest aspect.</w:t>
            </w:r>
          </w:p>
        </w:tc>
      </w:tr>
      <w:tr w:rsidR="0017299D" w:rsidRPr="00255CE0" w14:paraId="6E623FAC" w14:textId="77777777" w:rsidTr="00EA4515">
        <w:tc>
          <w:tcPr>
            <w:tcW w:w="534" w:type="dxa"/>
          </w:tcPr>
          <w:p w14:paraId="2CF19DF3" w14:textId="16FDDF36" w:rsidR="0017299D" w:rsidRPr="00255CE0" w:rsidRDefault="0017299D" w:rsidP="0017299D">
            <w:pPr>
              <w:jc w:val="center"/>
              <w:rPr>
                <w:sz w:val="24"/>
                <w:szCs w:val="20"/>
              </w:rPr>
            </w:pPr>
            <w:r w:rsidRPr="00255CE0">
              <w:rPr>
                <w:sz w:val="24"/>
                <w:szCs w:val="20"/>
              </w:rPr>
              <w:lastRenderedPageBreak/>
              <w:t>12</w:t>
            </w:r>
          </w:p>
        </w:tc>
        <w:tc>
          <w:tcPr>
            <w:tcW w:w="1549" w:type="dxa"/>
          </w:tcPr>
          <w:p w14:paraId="4C453597" w14:textId="7B0DFDD7" w:rsidR="0017299D" w:rsidRPr="00255CE0" w:rsidRDefault="0017299D" w:rsidP="0017299D">
            <w:pPr>
              <w:jc w:val="center"/>
              <w:rPr>
                <w:sz w:val="24"/>
                <w:szCs w:val="20"/>
              </w:rPr>
            </w:pPr>
            <w:r>
              <w:rPr>
                <w:sz w:val="24"/>
                <w:szCs w:val="20"/>
              </w:rPr>
              <w:t>Art. 6, alin. 1 – Dreptul la un proces echitabil</w:t>
            </w:r>
          </w:p>
        </w:tc>
        <w:tc>
          <w:tcPr>
            <w:tcW w:w="2029" w:type="dxa"/>
          </w:tcPr>
          <w:p w14:paraId="1625B22E" w14:textId="53C7B853" w:rsidR="0017299D" w:rsidRPr="00255CE0" w:rsidRDefault="0017299D" w:rsidP="0017299D">
            <w:pPr>
              <w:jc w:val="center"/>
              <w:rPr>
                <w:sz w:val="24"/>
                <w:szCs w:val="20"/>
              </w:rPr>
            </w:pPr>
            <w:r>
              <w:rPr>
                <w:sz w:val="24"/>
                <w:szCs w:val="20"/>
              </w:rPr>
              <w:t xml:space="preserve">Dreptul la un proces echitabil, </w:t>
            </w:r>
            <w:r w:rsidRPr="00915628">
              <w:rPr>
                <w:sz w:val="24"/>
                <w:szCs w:val="20"/>
              </w:rPr>
              <w:t>acces la instanțele superioare</w:t>
            </w:r>
            <w:r>
              <w:rPr>
                <w:sz w:val="24"/>
                <w:szCs w:val="20"/>
              </w:rPr>
              <w:t xml:space="preserve">, </w:t>
            </w:r>
            <w:r w:rsidRPr="00915628">
              <w:rPr>
                <w:sz w:val="24"/>
                <w:szCs w:val="20"/>
              </w:rPr>
              <w:t xml:space="preserve">restricții </w:t>
            </w:r>
            <w:r w:rsidRPr="00915628">
              <w:rPr>
                <w:i/>
                <w:iCs/>
                <w:sz w:val="24"/>
                <w:szCs w:val="20"/>
              </w:rPr>
              <w:t>ratione valoris</w:t>
            </w:r>
            <w:r>
              <w:rPr>
                <w:sz w:val="24"/>
                <w:szCs w:val="20"/>
              </w:rPr>
              <w:t xml:space="preserve">, </w:t>
            </w:r>
            <w:r w:rsidRPr="00915628">
              <w:rPr>
                <w:sz w:val="24"/>
                <w:szCs w:val="20"/>
              </w:rPr>
              <w:t>formalism procedural</w:t>
            </w:r>
          </w:p>
        </w:tc>
        <w:tc>
          <w:tcPr>
            <w:tcW w:w="1436" w:type="dxa"/>
          </w:tcPr>
          <w:p w14:paraId="3F315DC3" w14:textId="03F0EF51" w:rsidR="0017299D" w:rsidRPr="00255CE0" w:rsidRDefault="0017299D" w:rsidP="0017299D">
            <w:pPr>
              <w:jc w:val="center"/>
              <w:rPr>
                <w:sz w:val="24"/>
                <w:szCs w:val="20"/>
              </w:rPr>
            </w:pPr>
            <w:r>
              <w:rPr>
                <w:sz w:val="24"/>
                <w:szCs w:val="20"/>
              </w:rPr>
              <w:t>05.04.2018, Zubac c. Croația [MC]</w:t>
            </w:r>
          </w:p>
        </w:tc>
        <w:tc>
          <w:tcPr>
            <w:tcW w:w="1816" w:type="dxa"/>
          </w:tcPr>
          <w:p w14:paraId="63E6CD84" w14:textId="5A0E3B43" w:rsidR="0017299D" w:rsidRPr="00255CE0" w:rsidRDefault="0017299D" w:rsidP="0017299D">
            <w:pPr>
              <w:jc w:val="center"/>
              <w:rPr>
                <w:sz w:val="24"/>
                <w:szCs w:val="20"/>
              </w:rPr>
            </w:pPr>
            <w:r>
              <w:rPr>
                <w:sz w:val="24"/>
                <w:szCs w:val="20"/>
              </w:rPr>
              <w:t>A</w:t>
            </w:r>
            <w:r w:rsidRPr="005B5D91">
              <w:rPr>
                <w:sz w:val="24"/>
                <w:szCs w:val="20"/>
              </w:rPr>
              <w:t xml:space="preserve">cces la </w:t>
            </w:r>
            <w:r>
              <w:rPr>
                <w:sz w:val="24"/>
                <w:szCs w:val="20"/>
              </w:rPr>
              <w:t>Curtea Supremă, prag valoric, prezivibilitate, marja de apreciere, formalism procedural</w:t>
            </w:r>
          </w:p>
        </w:tc>
        <w:tc>
          <w:tcPr>
            <w:tcW w:w="2002" w:type="dxa"/>
          </w:tcPr>
          <w:p w14:paraId="4E6DBED8" w14:textId="4392B25F" w:rsidR="0017299D" w:rsidRDefault="0017299D" w:rsidP="0017299D">
            <w:pPr>
              <w:jc w:val="both"/>
              <w:rPr>
                <w:sz w:val="24"/>
                <w:szCs w:val="20"/>
              </w:rPr>
            </w:pPr>
            <w:r w:rsidRPr="00255CE0">
              <w:rPr>
                <w:sz w:val="24"/>
                <w:szCs w:val="20"/>
              </w:rPr>
              <w:t>– CtEDO</w:t>
            </w:r>
            <w:r>
              <w:rPr>
                <w:sz w:val="24"/>
                <w:szCs w:val="20"/>
              </w:rPr>
              <w:t xml:space="preserve"> </w:t>
            </w:r>
            <w:r w:rsidRPr="00915628">
              <w:rPr>
                <w:sz w:val="24"/>
                <w:szCs w:val="20"/>
              </w:rPr>
              <w:t>a reținut că restricțiile ratione valoris privind accesul la Curtea Supremă sunt, în principiu, compatibile cu art. 6 § 1 și urmăresc un scop legitim, acela de a asigura ca instanța supremă să soluționeze doar cauze de importanță suficientă.</w:t>
            </w:r>
          </w:p>
          <w:p w14:paraId="0E59948A" w14:textId="77777777" w:rsidR="0017299D" w:rsidRDefault="0017299D" w:rsidP="0017299D">
            <w:pPr>
              <w:jc w:val="both"/>
              <w:rPr>
                <w:sz w:val="24"/>
                <w:szCs w:val="20"/>
              </w:rPr>
            </w:pPr>
            <w:r w:rsidRPr="00255CE0">
              <w:rPr>
                <w:sz w:val="24"/>
                <w:szCs w:val="20"/>
              </w:rPr>
              <w:t>– CtEDO</w:t>
            </w:r>
            <w:r>
              <w:rPr>
                <w:sz w:val="24"/>
                <w:szCs w:val="20"/>
              </w:rPr>
              <w:t xml:space="preserve"> </w:t>
            </w:r>
            <w:r w:rsidRPr="00915628">
              <w:rPr>
                <w:sz w:val="24"/>
                <w:szCs w:val="20"/>
              </w:rPr>
              <w:t xml:space="preserve">a apreciat că procedura de </w:t>
            </w:r>
            <w:r w:rsidRPr="00915628">
              <w:rPr>
                <w:sz w:val="24"/>
                <w:szCs w:val="20"/>
              </w:rPr>
              <w:lastRenderedPageBreak/>
              <w:t>acces la Curtea Supremă era previzibilă, reglementată clar de dreptul intern și susținută de o practică judiciară constantă. Erorile procedurale privind indicarea valorii obiectului litigiului au fost considerate ca fiind în principal imputabile reclamantei, care a fost asistată de avocat și nu a dat dovadă de diligența necesară.</w:t>
            </w:r>
          </w:p>
          <w:p w14:paraId="28672C54" w14:textId="3FFDD40D" w:rsidR="0017299D" w:rsidRPr="00255CE0" w:rsidRDefault="0017299D" w:rsidP="0017299D">
            <w:pPr>
              <w:jc w:val="both"/>
              <w:rPr>
                <w:sz w:val="24"/>
                <w:szCs w:val="20"/>
              </w:rPr>
            </w:pPr>
            <w:r w:rsidRPr="00255CE0">
              <w:rPr>
                <w:sz w:val="24"/>
                <w:szCs w:val="20"/>
              </w:rPr>
              <w:t>– CtEDO</w:t>
            </w:r>
            <w:r>
              <w:rPr>
                <w:sz w:val="24"/>
                <w:szCs w:val="20"/>
              </w:rPr>
              <w:t xml:space="preserve"> </w:t>
            </w:r>
            <w:r w:rsidRPr="00915628">
              <w:rPr>
                <w:sz w:val="24"/>
                <w:szCs w:val="20"/>
              </w:rPr>
              <w:t xml:space="preserve">a constatat că instanța supremă nu era obligată să fie ținută de erorile instanțelor inferioare în stabilirea competenței sale și că aplicarea strictă a normelor procedurale a urmărit securitatea juridică și buna administrare a justiției. Nu s-a reținut existența unui formalism excesiv care să afecteze însăși esența dreptului de acces la </w:t>
            </w:r>
            <w:r>
              <w:rPr>
                <w:sz w:val="24"/>
                <w:szCs w:val="20"/>
              </w:rPr>
              <w:t>justiție</w:t>
            </w:r>
            <w:r w:rsidRPr="00915628">
              <w:rPr>
                <w:sz w:val="24"/>
                <w:szCs w:val="20"/>
              </w:rPr>
              <w:t>.</w:t>
            </w:r>
          </w:p>
        </w:tc>
        <w:tc>
          <w:tcPr>
            <w:tcW w:w="2340" w:type="dxa"/>
          </w:tcPr>
          <w:p w14:paraId="62A3E0FF" w14:textId="77777777" w:rsidR="0017299D" w:rsidRDefault="0017299D" w:rsidP="0017299D">
            <w:pPr>
              <w:jc w:val="center"/>
              <w:rPr>
                <w:sz w:val="24"/>
                <w:szCs w:val="20"/>
              </w:rPr>
            </w:pPr>
            <w:r>
              <w:rPr>
                <w:sz w:val="24"/>
                <w:szCs w:val="20"/>
              </w:rPr>
              <w:lastRenderedPageBreak/>
              <w:t>Nu a fost constatată încălcarea art. 6, alin. 1</w:t>
            </w:r>
          </w:p>
          <w:p w14:paraId="191C5129" w14:textId="196B3FDF" w:rsidR="0017299D" w:rsidRPr="00255CE0" w:rsidRDefault="0017299D" w:rsidP="0017299D">
            <w:pPr>
              <w:jc w:val="center"/>
              <w:rPr>
                <w:sz w:val="24"/>
                <w:szCs w:val="20"/>
              </w:rPr>
            </w:pPr>
            <w:r>
              <w:rPr>
                <w:sz w:val="24"/>
                <w:szCs w:val="20"/>
              </w:rPr>
              <w:t>Nu s-au acordat despăgubiri</w:t>
            </w:r>
          </w:p>
        </w:tc>
      </w:tr>
      <w:tr w:rsidR="0017299D" w:rsidRPr="00255CE0" w14:paraId="5EE72F5A" w14:textId="77777777" w:rsidTr="00EA4515">
        <w:tc>
          <w:tcPr>
            <w:tcW w:w="534" w:type="dxa"/>
          </w:tcPr>
          <w:p w14:paraId="1CD13DAE" w14:textId="63C59FBE" w:rsidR="0017299D" w:rsidRPr="00255CE0" w:rsidRDefault="0017299D" w:rsidP="0017299D">
            <w:pPr>
              <w:jc w:val="center"/>
              <w:rPr>
                <w:sz w:val="24"/>
                <w:szCs w:val="20"/>
              </w:rPr>
            </w:pPr>
            <w:r w:rsidRPr="00255CE0">
              <w:rPr>
                <w:sz w:val="24"/>
                <w:szCs w:val="20"/>
              </w:rPr>
              <w:t>13</w:t>
            </w:r>
          </w:p>
        </w:tc>
        <w:tc>
          <w:tcPr>
            <w:tcW w:w="1549" w:type="dxa"/>
          </w:tcPr>
          <w:p w14:paraId="2237EF2A" w14:textId="30950CCE" w:rsidR="0017299D" w:rsidRPr="00255CE0" w:rsidRDefault="0017299D" w:rsidP="0017299D">
            <w:pPr>
              <w:jc w:val="center"/>
              <w:rPr>
                <w:sz w:val="24"/>
                <w:szCs w:val="20"/>
              </w:rPr>
            </w:pPr>
            <w:r>
              <w:rPr>
                <w:sz w:val="24"/>
                <w:szCs w:val="20"/>
              </w:rPr>
              <w:t>Art. 8 – Dreptul la respectarea vieții private și de familie</w:t>
            </w:r>
          </w:p>
        </w:tc>
        <w:tc>
          <w:tcPr>
            <w:tcW w:w="2029" w:type="dxa"/>
          </w:tcPr>
          <w:p w14:paraId="56DEE583" w14:textId="11E2E4CC" w:rsidR="0017299D" w:rsidRPr="00255CE0" w:rsidRDefault="0017299D" w:rsidP="0017299D">
            <w:pPr>
              <w:jc w:val="center"/>
              <w:rPr>
                <w:sz w:val="24"/>
                <w:szCs w:val="20"/>
              </w:rPr>
            </w:pPr>
            <w:r>
              <w:rPr>
                <w:sz w:val="24"/>
                <w:szCs w:val="20"/>
              </w:rPr>
              <w:t>Dreptul la viață privată și corespondență, obligații pozitive ale statului, monitorizarea angajaților</w:t>
            </w:r>
          </w:p>
        </w:tc>
        <w:tc>
          <w:tcPr>
            <w:tcW w:w="1436" w:type="dxa"/>
          </w:tcPr>
          <w:p w14:paraId="4017C8D4" w14:textId="5CD3DBE9" w:rsidR="0017299D" w:rsidRPr="00255CE0" w:rsidRDefault="0017299D" w:rsidP="0017299D">
            <w:pPr>
              <w:jc w:val="center"/>
              <w:rPr>
                <w:sz w:val="24"/>
                <w:szCs w:val="20"/>
              </w:rPr>
            </w:pPr>
            <w:r>
              <w:rPr>
                <w:sz w:val="24"/>
                <w:szCs w:val="20"/>
              </w:rPr>
              <w:t>05.09.2017, Bărbulescu c. România [MC]</w:t>
            </w:r>
          </w:p>
        </w:tc>
        <w:tc>
          <w:tcPr>
            <w:tcW w:w="1816" w:type="dxa"/>
          </w:tcPr>
          <w:p w14:paraId="6B80389E" w14:textId="22F20707" w:rsidR="0017299D" w:rsidRPr="00255CE0" w:rsidRDefault="0017299D" w:rsidP="0017299D">
            <w:pPr>
              <w:jc w:val="center"/>
              <w:rPr>
                <w:sz w:val="24"/>
                <w:szCs w:val="20"/>
              </w:rPr>
            </w:pPr>
            <w:r w:rsidRPr="00392508">
              <w:rPr>
                <w:sz w:val="24"/>
                <w:szCs w:val="20"/>
              </w:rPr>
              <w:t>Monitorizarea comunicațiilor angajatului de către angajator</w:t>
            </w:r>
            <w:r>
              <w:rPr>
                <w:sz w:val="24"/>
                <w:szCs w:val="20"/>
              </w:rPr>
              <w:t xml:space="preserve">, </w:t>
            </w:r>
            <w:r w:rsidRPr="00392508">
              <w:rPr>
                <w:sz w:val="24"/>
                <w:szCs w:val="20"/>
              </w:rPr>
              <w:t>notificare prealabilă</w:t>
            </w:r>
            <w:r>
              <w:rPr>
                <w:sz w:val="24"/>
                <w:szCs w:val="20"/>
              </w:rPr>
              <w:t xml:space="preserve">, </w:t>
            </w:r>
            <w:r w:rsidRPr="00392508">
              <w:rPr>
                <w:sz w:val="24"/>
                <w:szCs w:val="20"/>
              </w:rPr>
              <w:t>echilibru între drepturi</w:t>
            </w:r>
            <w:r>
              <w:rPr>
                <w:sz w:val="24"/>
                <w:szCs w:val="20"/>
              </w:rPr>
              <w:t xml:space="preserve">le angajatului și angajatorului, </w:t>
            </w:r>
            <w:r>
              <w:rPr>
                <w:sz w:val="24"/>
                <w:szCs w:val="20"/>
              </w:rPr>
              <w:lastRenderedPageBreak/>
              <w:t>procedură</w:t>
            </w:r>
            <w:r w:rsidRPr="00392508">
              <w:rPr>
                <w:sz w:val="24"/>
                <w:szCs w:val="20"/>
              </w:rPr>
              <w:t xml:space="preserve"> disciplinară</w:t>
            </w:r>
            <w:r>
              <w:rPr>
                <w:sz w:val="24"/>
                <w:szCs w:val="20"/>
              </w:rPr>
              <w:t xml:space="preserve">, </w:t>
            </w:r>
            <w:r w:rsidRPr="00392508">
              <w:rPr>
                <w:sz w:val="24"/>
                <w:szCs w:val="20"/>
              </w:rPr>
              <w:t>obligații pozitive ale statului</w:t>
            </w:r>
            <w:r>
              <w:rPr>
                <w:sz w:val="24"/>
                <w:szCs w:val="20"/>
              </w:rPr>
              <w:t>, protecție legală</w:t>
            </w:r>
          </w:p>
        </w:tc>
        <w:tc>
          <w:tcPr>
            <w:tcW w:w="2002" w:type="dxa"/>
          </w:tcPr>
          <w:p w14:paraId="61B59357" w14:textId="77777777" w:rsidR="0017299D" w:rsidRDefault="0017299D" w:rsidP="0017299D">
            <w:pPr>
              <w:jc w:val="both"/>
              <w:rPr>
                <w:sz w:val="24"/>
                <w:szCs w:val="20"/>
              </w:rPr>
            </w:pPr>
            <w:r w:rsidRPr="00255CE0">
              <w:rPr>
                <w:sz w:val="24"/>
                <w:szCs w:val="20"/>
              </w:rPr>
              <w:lastRenderedPageBreak/>
              <w:t>– CtEDO</w:t>
            </w:r>
            <w:r>
              <w:rPr>
                <w:sz w:val="24"/>
                <w:szCs w:val="20"/>
              </w:rPr>
              <w:t xml:space="preserve"> </w:t>
            </w:r>
            <w:r w:rsidRPr="00EA4515">
              <w:rPr>
                <w:sz w:val="24"/>
                <w:szCs w:val="20"/>
              </w:rPr>
              <w:t xml:space="preserve">a constatat că, deși monitorizarea a fost efectuată de angajator privat, autoritățile naționale au responsabilitatea pozitivă de a asigura </w:t>
            </w:r>
            <w:r w:rsidRPr="00EA4515">
              <w:rPr>
                <w:sz w:val="24"/>
                <w:szCs w:val="20"/>
              </w:rPr>
              <w:lastRenderedPageBreak/>
              <w:t>respectarea dreptului la viață privată și corespondență.</w:t>
            </w:r>
          </w:p>
          <w:p w14:paraId="7851FFC0" w14:textId="77777777" w:rsidR="0017299D" w:rsidRDefault="0017299D" w:rsidP="0017299D">
            <w:pPr>
              <w:jc w:val="both"/>
              <w:rPr>
                <w:sz w:val="24"/>
                <w:szCs w:val="20"/>
              </w:rPr>
            </w:pPr>
            <w:r w:rsidRPr="00255CE0">
              <w:rPr>
                <w:sz w:val="24"/>
                <w:szCs w:val="20"/>
              </w:rPr>
              <w:t>– CtEDO</w:t>
            </w:r>
            <w:r>
              <w:rPr>
                <w:sz w:val="24"/>
                <w:szCs w:val="20"/>
              </w:rPr>
              <w:t xml:space="preserve"> a reținut că </w:t>
            </w:r>
            <w:r w:rsidRPr="006C6E8A">
              <w:rPr>
                <w:sz w:val="24"/>
                <w:szCs w:val="20"/>
              </w:rPr>
              <w:t xml:space="preserve">instanțele </w:t>
            </w:r>
            <w:r>
              <w:rPr>
                <w:sz w:val="24"/>
                <w:szCs w:val="20"/>
              </w:rPr>
              <w:t>naționale</w:t>
            </w:r>
            <w:r w:rsidRPr="006C6E8A">
              <w:rPr>
                <w:sz w:val="24"/>
                <w:szCs w:val="20"/>
              </w:rPr>
              <w:t xml:space="preserve"> nu au analizat dacă reclamantul a fost notificat în prealabil cu privire la monitorizare, gradul de intruziune, justificarea monitorizării, alternativele mai puțin intruzive și momentul accesării conținutului comunicațiilor.</w:t>
            </w:r>
          </w:p>
          <w:p w14:paraId="3108E9CE" w14:textId="16C7B82C" w:rsidR="0017299D" w:rsidRPr="00255CE0" w:rsidRDefault="0017299D" w:rsidP="0017299D">
            <w:pPr>
              <w:jc w:val="both"/>
              <w:rPr>
                <w:sz w:val="24"/>
                <w:szCs w:val="20"/>
              </w:rPr>
            </w:pPr>
            <w:r w:rsidRPr="00255CE0">
              <w:rPr>
                <w:sz w:val="24"/>
                <w:szCs w:val="20"/>
              </w:rPr>
              <w:t>– CtEDO</w:t>
            </w:r>
            <w:r>
              <w:rPr>
                <w:sz w:val="24"/>
                <w:szCs w:val="20"/>
              </w:rPr>
              <w:t xml:space="preserve"> </w:t>
            </w:r>
            <w:r w:rsidRPr="006C6E8A">
              <w:rPr>
                <w:sz w:val="24"/>
                <w:szCs w:val="20"/>
              </w:rPr>
              <w:t xml:space="preserve">a apreciat că instanțele </w:t>
            </w:r>
            <w:r>
              <w:rPr>
                <w:sz w:val="24"/>
                <w:szCs w:val="20"/>
              </w:rPr>
              <w:t>naționale</w:t>
            </w:r>
            <w:r w:rsidRPr="006C6E8A">
              <w:rPr>
                <w:sz w:val="24"/>
                <w:szCs w:val="20"/>
              </w:rPr>
              <w:t xml:space="preserve"> nu au efectuat un echilibru corect între drepturile angajatului și interesul angajatorului.</w:t>
            </w:r>
          </w:p>
        </w:tc>
        <w:tc>
          <w:tcPr>
            <w:tcW w:w="2340" w:type="dxa"/>
          </w:tcPr>
          <w:p w14:paraId="244946E1" w14:textId="77777777" w:rsidR="0017299D" w:rsidRDefault="0017299D" w:rsidP="0017299D">
            <w:pPr>
              <w:jc w:val="center"/>
              <w:rPr>
                <w:sz w:val="24"/>
                <w:szCs w:val="20"/>
              </w:rPr>
            </w:pPr>
            <w:r>
              <w:rPr>
                <w:sz w:val="24"/>
                <w:szCs w:val="20"/>
              </w:rPr>
              <w:lastRenderedPageBreak/>
              <w:t>Încălcarea art. 8</w:t>
            </w:r>
          </w:p>
          <w:p w14:paraId="01B14D9A" w14:textId="31F05086" w:rsidR="0017299D" w:rsidRDefault="0017299D" w:rsidP="0017299D">
            <w:pPr>
              <w:jc w:val="center"/>
              <w:rPr>
                <w:sz w:val="24"/>
                <w:szCs w:val="20"/>
              </w:rPr>
            </w:pPr>
            <w:r>
              <w:rPr>
                <w:sz w:val="24"/>
                <w:szCs w:val="20"/>
              </w:rPr>
              <w:t>Constatarea încălcării (prejudiciu moral)</w:t>
            </w:r>
          </w:p>
          <w:p w14:paraId="2AAE400A" w14:textId="144FCDC4" w:rsidR="0017299D" w:rsidRDefault="0017299D" w:rsidP="0017299D">
            <w:pPr>
              <w:jc w:val="center"/>
              <w:rPr>
                <w:sz w:val="24"/>
                <w:szCs w:val="20"/>
              </w:rPr>
            </w:pPr>
            <w:r>
              <w:rPr>
                <w:sz w:val="24"/>
                <w:szCs w:val="20"/>
              </w:rPr>
              <w:t>1.365 EUR (costuri și cheltuieli)</w:t>
            </w:r>
          </w:p>
          <w:p w14:paraId="573F511E" w14:textId="29EAC05B" w:rsidR="0017299D" w:rsidRDefault="0017299D" w:rsidP="0017299D">
            <w:pPr>
              <w:jc w:val="center"/>
              <w:rPr>
                <w:sz w:val="24"/>
                <w:szCs w:val="20"/>
              </w:rPr>
            </w:pPr>
            <w:r>
              <w:rPr>
                <w:sz w:val="24"/>
                <w:szCs w:val="20"/>
              </w:rPr>
              <w:t>Cererea pentru daune materiale a fost respinsă</w:t>
            </w:r>
          </w:p>
          <w:p w14:paraId="3DFE4699" w14:textId="29FD9E5E" w:rsidR="0017299D" w:rsidRPr="00255CE0" w:rsidRDefault="0017299D" w:rsidP="0017299D">
            <w:pPr>
              <w:jc w:val="center"/>
              <w:rPr>
                <w:sz w:val="24"/>
                <w:szCs w:val="20"/>
              </w:rPr>
            </w:pPr>
            <w:r>
              <w:rPr>
                <w:sz w:val="24"/>
                <w:szCs w:val="20"/>
              </w:rPr>
              <w:t xml:space="preserve">  </w:t>
            </w:r>
          </w:p>
        </w:tc>
      </w:tr>
      <w:tr w:rsidR="0017299D" w:rsidRPr="00255CE0" w14:paraId="6083EAC0" w14:textId="77777777" w:rsidTr="00EA4515">
        <w:tc>
          <w:tcPr>
            <w:tcW w:w="534" w:type="dxa"/>
          </w:tcPr>
          <w:p w14:paraId="23ADC7B9" w14:textId="7B819314" w:rsidR="0017299D" w:rsidRPr="00255CE0" w:rsidRDefault="0017299D" w:rsidP="0017299D">
            <w:pPr>
              <w:jc w:val="center"/>
              <w:rPr>
                <w:sz w:val="24"/>
                <w:szCs w:val="20"/>
              </w:rPr>
            </w:pPr>
            <w:r w:rsidRPr="00255CE0">
              <w:rPr>
                <w:sz w:val="24"/>
                <w:szCs w:val="20"/>
              </w:rPr>
              <w:t>14</w:t>
            </w:r>
          </w:p>
        </w:tc>
        <w:tc>
          <w:tcPr>
            <w:tcW w:w="1549" w:type="dxa"/>
          </w:tcPr>
          <w:p w14:paraId="13F4AD46" w14:textId="77777777" w:rsidR="0017299D" w:rsidRDefault="0017299D" w:rsidP="0017299D">
            <w:pPr>
              <w:jc w:val="center"/>
              <w:rPr>
                <w:sz w:val="24"/>
                <w:szCs w:val="20"/>
              </w:rPr>
            </w:pPr>
            <w:r>
              <w:rPr>
                <w:sz w:val="24"/>
                <w:szCs w:val="20"/>
              </w:rPr>
              <w:t>Art. 6, alin. 1 – Dreptul la un proces echitabil</w:t>
            </w:r>
          </w:p>
          <w:p w14:paraId="5CD3D7E7" w14:textId="1D441571" w:rsidR="0017299D" w:rsidRPr="00255CE0" w:rsidRDefault="0017299D" w:rsidP="0017299D">
            <w:pPr>
              <w:jc w:val="center"/>
              <w:rPr>
                <w:sz w:val="24"/>
                <w:szCs w:val="20"/>
              </w:rPr>
            </w:pPr>
            <w:r>
              <w:rPr>
                <w:sz w:val="24"/>
                <w:szCs w:val="20"/>
              </w:rPr>
              <w:t>Art. 2 din Prot. nr. 7 – Dreptul la două grade de jurisdicție în materie penală</w:t>
            </w:r>
          </w:p>
        </w:tc>
        <w:tc>
          <w:tcPr>
            <w:tcW w:w="2029" w:type="dxa"/>
          </w:tcPr>
          <w:p w14:paraId="460E8EA3" w14:textId="56459391" w:rsidR="0017299D" w:rsidRPr="00255CE0" w:rsidRDefault="0017299D" w:rsidP="0017299D">
            <w:pPr>
              <w:jc w:val="center"/>
              <w:rPr>
                <w:sz w:val="24"/>
                <w:szCs w:val="20"/>
              </w:rPr>
            </w:pPr>
            <w:r w:rsidRPr="0099691F">
              <w:rPr>
                <w:sz w:val="24"/>
                <w:szCs w:val="20"/>
              </w:rPr>
              <w:t xml:space="preserve">Dreptul la un </w:t>
            </w:r>
            <w:r>
              <w:rPr>
                <w:sz w:val="24"/>
                <w:szCs w:val="20"/>
              </w:rPr>
              <w:t>proces echitabil,</w:t>
            </w:r>
            <w:r w:rsidRPr="0099691F">
              <w:rPr>
                <w:sz w:val="24"/>
                <w:szCs w:val="20"/>
              </w:rPr>
              <w:t xml:space="preserve"> dreptul la apel în materie penală</w:t>
            </w:r>
            <w:r>
              <w:rPr>
                <w:sz w:val="24"/>
                <w:szCs w:val="20"/>
              </w:rPr>
              <w:t>, li</w:t>
            </w:r>
            <w:r w:rsidRPr="0099691F">
              <w:rPr>
                <w:sz w:val="24"/>
                <w:szCs w:val="20"/>
              </w:rPr>
              <w:t>mitele reîncadrării juridice a plângerilor</w:t>
            </w:r>
          </w:p>
        </w:tc>
        <w:tc>
          <w:tcPr>
            <w:tcW w:w="1436" w:type="dxa"/>
          </w:tcPr>
          <w:p w14:paraId="3782D543" w14:textId="513A16DD" w:rsidR="0017299D" w:rsidRPr="00255CE0" w:rsidRDefault="0017299D" w:rsidP="0017299D">
            <w:pPr>
              <w:jc w:val="center"/>
              <w:rPr>
                <w:sz w:val="24"/>
                <w:szCs w:val="20"/>
              </w:rPr>
            </w:pPr>
            <w:r>
              <w:rPr>
                <w:sz w:val="24"/>
                <w:szCs w:val="20"/>
              </w:rPr>
              <w:t>01.06.2023, Grosam c. Republica Cehă [MC]</w:t>
            </w:r>
          </w:p>
        </w:tc>
        <w:tc>
          <w:tcPr>
            <w:tcW w:w="1816" w:type="dxa"/>
          </w:tcPr>
          <w:p w14:paraId="313C4135" w14:textId="766697A0" w:rsidR="0017299D" w:rsidRPr="00255CE0" w:rsidRDefault="0017299D" w:rsidP="0017299D">
            <w:pPr>
              <w:jc w:val="center"/>
              <w:rPr>
                <w:sz w:val="24"/>
                <w:szCs w:val="20"/>
              </w:rPr>
            </w:pPr>
            <w:r>
              <w:rPr>
                <w:sz w:val="24"/>
                <w:szCs w:val="20"/>
              </w:rPr>
              <w:t>S</w:t>
            </w:r>
            <w:r w:rsidRPr="0099691F">
              <w:rPr>
                <w:sz w:val="24"/>
                <w:szCs w:val="20"/>
              </w:rPr>
              <w:t>copul cauzei</w:t>
            </w:r>
            <w:r>
              <w:rPr>
                <w:sz w:val="24"/>
                <w:szCs w:val="20"/>
              </w:rPr>
              <w:t xml:space="preserve">, </w:t>
            </w:r>
            <w:r w:rsidRPr="0099691F">
              <w:rPr>
                <w:sz w:val="24"/>
                <w:szCs w:val="20"/>
              </w:rPr>
              <w:t xml:space="preserve">reîncadrare </w:t>
            </w:r>
            <w:r w:rsidRPr="0099691F">
              <w:rPr>
                <w:i/>
                <w:iCs/>
                <w:sz w:val="24"/>
                <w:szCs w:val="20"/>
              </w:rPr>
              <w:t>ex officio</w:t>
            </w:r>
            <w:r>
              <w:rPr>
                <w:sz w:val="24"/>
                <w:szCs w:val="20"/>
              </w:rPr>
              <w:t>,</w:t>
            </w:r>
            <w:r w:rsidRPr="0099691F">
              <w:rPr>
                <w:sz w:val="24"/>
                <w:szCs w:val="20"/>
              </w:rPr>
              <w:t xml:space="preserve"> tribunal independent și imparțial</w:t>
            </w:r>
            <w:r>
              <w:rPr>
                <w:sz w:val="24"/>
                <w:szCs w:val="20"/>
              </w:rPr>
              <w:t xml:space="preserve">, </w:t>
            </w:r>
            <w:r w:rsidRPr="0099691F">
              <w:rPr>
                <w:sz w:val="24"/>
                <w:szCs w:val="20"/>
              </w:rPr>
              <w:t>termen de 6 luni</w:t>
            </w:r>
            <w:r>
              <w:rPr>
                <w:sz w:val="24"/>
                <w:szCs w:val="20"/>
              </w:rPr>
              <w:t xml:space="preserve">, </w:t>
            </w:r>
            <w:r w:rsidRPr="0099691F">
              <w:rPr>
                <w:sz w:val="24"/>
                <w:szCs w:val="20"/>
              </w:rPr>
              <w:t>inadmisibilitate</w:t>
            </w:r>
            <w:r>
              <w:rPr>
                <w:sz w:val="24"/>
                <w:szCs w:val="20"/>
              </w:rPr>
              <w:t>, criteriile Engel</w:t>
            </w:r>
          </w:p>
        </w:tc>
        <w:tc>
          <w:tcPr>
            <w:tcW w:w="2002" w:type="dxa"/>
          </w:tcPr>
          <w:p w14:paraId="68491DF8" w14:textId="77777777" w:rsidR="0017299D" w:rsidRDefault="0017299D" w:rsidP="0017299D">
            <w:pPr>
              <w:jc w:val="both"/>
              <w:rPr>
                <w:sz w:val="24"/>
                <w:szCs w:val="20"/>
              </w:rPr>
            </w:pPr>
            <w:r w:rsidRPr="00255CE0">
              <w:rPr>
                <w:sz w:val="24"/>
                <w:szCs w:val="20"/>
              </w:rPr>
              <w:t>– CtEDO</w:t>
            </w:r>
            <w:r>
              <w:rPr>
                <w:sz w:val="24"/>
                <w:szCs w:val="20"/>
              </w:rPr>
              <w:t xml:space="preserve"> </w:t>
            </w:r>
            <w:r w:rsidRPr="0099691F">
              <w:rPr>
                <w:sz w:val="24"/>
                <w:szCs w:val="20"/>
              </w:rPr>
              <w:t>a reținut că plângerea privind lipsa unui tribunal</w:t>
            </w:r>
            <w:r>
              <w:rPr>
                <w:sz w:val="24"/>
                <w:szCs w:val="20"/>
              </w:rPr>
              <w:t xml:space="preserve"> </w:t>
            </w:r>
            <w:r w:rsidRPr="0099691F">
              <w:rPr>
                <w:sz w:val="24"/>
                <w:szCs w:val="20"/>
              </w:rPr>
              <w:t>independent și imparțial nu a fost formulată în cererea inițială, fiind ridicată tardiv în observații ulterioare</w:t>
            </w:r>
            <w:r>
              <w:rPr>
                <w:sz w:val="24"/>
                <w:szCs w:val="20"/>
              </w:rPr>
              <w:t>.</w:t>
            </w:r>
          </w:p>
          <w:p w14:paraId="3CE6177E" w14:textId="77777777" w:rsidR="0017299D" w:rsidRDefault="0017299D" w:rsidP="0017299D">
            <w:pPr>
              <w:jc w:val="both"/>
              <w:rPr>
                <w:sz w:val="24"/>
                <w:szCs w:val="20"/>
              </w:rPr>
            </w:pPr>
            <w:r w:rsidRPr="00255CE0">
              <w:rPr>
                <w:sz w:val="24"/>
                <w:szCs w:val="20"/>
              </w:rPr>
              <w:t>– CtEDO</w:t>
            </w:r>
            <w:r>
              <w:rPr>
                <w:sz w:val="24"/>
                <w:szCs w:val="20"/>
              </w:rPr>
              <w:t xml:space="preserve"> a afirmat că</w:t>
            </w:r>
            <w:r w:rsidRPr="0099691F">
              <w:rPr>
                <w:sz w:val="24"/>
                <w:szCs w:val="20"/>
              </w:rPr>
              <w:t xml:space="preserve"> Camera a extins din oficiu obiectul cauzei, depășindu-și competența.</w:t>
            </w:r>
          </w:p>
          <w:p w14:paraId="2127B58A" w14:textId="77777777" w:rsidR="0017299D" w:rsidRDefault="0017299D" w:rsidP="0017299D">
            <w:pPr>
              <w:jc w:val="both"/>
              <w:rPr>
                <w:sz w:val="24"/>
                <w:szCs w:val="20"/>
              </w:rPr>
            </w:pPr>
            <w:r w:rsidRPr="00255CE0">
              <w:rPr>
                <w:sz w:val="24"/>
                <w:szCs w:val="20"/>
              </w:rPr>
              <w:t>– CtEDO</w:t>
            </w:r>
            <w:r>
              <w:rPr>
                <w:sz w:val="24"/>
                <w:szCs w:val="20"/>
              </w:rPr>
              <w:t xml:space="preserve"> a constatat că a</w:t>
            </w:r>
            <w:r w:rsidRPr="0099691F">
              <w:rPr>
                <w:sz w:val="24"/>
                <w:szCs w:val="20"/>
              </w:rPr>
              <w:t>rt. 6</w:t>
            </w:r>
            <w:r>
              <w:rPr>
                <w:sz w:val="24"/>
                <w:szCs w:val="20"/>
              </w:rPr>
              <w:t xml:space="preserve">, alin. </w:t>
            </w:r>
            <w:r w:rsidRPr="0099691F">
              <w:rPr>
                <w:sz w:val="24"/>
                <w:szCs w:val="20"/>
              </w:rPr>
              <w:t xml:space="preserve">1 este </w:t>
            </w:r>
            <w:r w:rsidRPr="0099691F">
              <w:rPr>
                <w:sz w:val="24"/>
                <w:szCs w:val="20"/>
              </w:rPr>
              <w:lastRenderedPageBreak/>
              <w:t>aplicabil sub aspect civil, dar nu sub aspect penal (criteriile Engel nu sunt îndeplinite).</w:t>
            </w:r>
            <w:r>
              <w:rPr>
                <w:sz w:val="24"/>
                <w:szCs w:val="20"/>
              </w:rPr>
              <w:t xml:space="preserve"> </w:t>
            </w:r>
            <w:r w:rsidRPr="0099691F">
              <w:rPr>
                <w:sz w:val="24"/>
                <w:szCs w:val="20"/>
              </w:rPr>
              <w:t>Nu există obligația, în materie civilă, ca instanța să administreze probe din oficiu</w:t>
            </w:r>
            <w:r>
              <w:rPr>
                <w:sz w:val="24"/>
                <w:szCs w:val="20"/>
              </w:rPr>
              <w:t>.</w:t>
            </w:r>
          </w:p>
          <w:p w14:paraId="239DECC7" w14:textId="15D1FA17" w:rsidR="0017299D" w:rsidRDefault="0017299D" w:rsidP="0017299D">
            <w:pPr>
              <w:jc w:val="both"/>
              <w:rPr>
                <w:sz w:val="24"/>
                <w:szCs w:val="20"/>
              </w:rPr>
            </w:pPr>
            <w:r w:rsidRPr="00255CE0">
              <w:rPr>
                <w:sz w:val="24"/>
                <w:szCs w:val="20"/>
              </w:rPr>
              <w:t>– CtEDO</w:t>
            </w:r>
            <w:r>
              <w:rPr>
                <w:sz w:val="24"/>
                <w:szCs w:val="20"/>
              </w:rPr>
              <w:t xml:space="preserve"> a reținut că</w:t>
            </w:r>
            <w:r w:rsidRPr="0099691F">
              <w:rPr>
                <w:sz w:val="24"/>
                <w:szCs w:val="20"/>
              </w:rPr>
              <w:t xml:space="preserve"> evaluarea probelor nu a fost arbitrară.</w:t>
            </w:r>
          </w:p>
          <w:p w14:paraId="6F9E6E3C" w14:textId="43FA4FEE" w:rsidR="0017299D" w:rsidRPr="0099691F" w:rsidRDefault="0017299D" w:rsidP="0017299D">
            <w:pPr>
              <w:jc w:val="both"/>
              <w:rPr>
                <w:sz w:val="24"/>
                <w:szCs w:val="20"/>
              </w:rPr>
            </w:pPr>
            <w:r w:rsidRPr="00255CE0">
              <w:rPr>
                <w:sz w:val="24"/>
                <w:szCs w:val="20"/>
              </w:rPr>
              <w:t>– CtEDO</w:t>
            </w:r>
            <w:r>
              <w:rPr>
                <w:sz w:val="24"/>
                <w:szCs w:val="20"/>
              </w:rPr>
              <w:t xml:space="preserve"> a afirmat că a</w:t>
            </w:r>
            <w:r w:rsidRPr="0099691F">
              <w:rPr>
                <w:sz w:val="24"/>
                <w:szCs w:val="20"/>
              </w:rPr>
              <w:t xml:space="preserve">rt. 2 </w:t>
            </w:r>
            <w:r>
              <w:rPr>
                <w:sz w:val="24"/>
                <w:szCs w:val="20"/>
              </w:rPr>
              <w:t xml:space="preserve">din </w:t>
            </w:r>
            <w:r w:rsidRPr="0099691F">
              <w:rPr>
                <w:sz w:val="24"/>
                <w:szCs w:val="20"/>
              </w:rPr>
              <w:t>Prot</w:t>
            </w:r>
            <w:r>
              <w:rPr>
                <w:sz w:val="24"/>
                <w:szCs w:val="20"/>
              </w:rPr>
              <w:t>.</w:t>
            </w:r>
            <w:r w:rsidRPr="0099691F">
              <w:rPr>
                <w:sz w:val="24"/>
                <w:szCs w:val="20"/>
              </w:rPr>
              <w:t xml:space="preserve"> nr. 7 este inaplicabil,</w:t>
            </w:r>
            <w:r>
              <w:rPr>
                <w:sz w:val="24"/>
                <w:szCs w:val="20"/>
              </w:rPr>
              <w:t xml:space="preserve"> </w:t>
            </w:r>
            <w:r w:rsidRPr="0099691F">
              <w:rPr>
                <w:sz w:val="24"/>
                <w:szCs w:val="20"/>
              </w:rPr>
              <w:t>întrucât procedura disciplinară nu privea o acuzație penală.</w:t>
            </w:r>
          </w:p>
        </w:tc>
        <w:tc>
          <w:tcPr>
            <w:tcW w:w="2340" w:type="dxa"/>
          </w:tcPr>
          <w:p w14:paraId="4B9639F1" w14:textId="77777777" w:rsidR="0017299D" w:rsidRDefault="0017299D" w:rsidP="0017299D">
            <w:pPr>
              <w:jc w:val="center"/>
              <w:rPr>
                <w:sz w:val="24"/>
                <w:szCs w:val="20"/>
              </w:rPr>
            </w:pPr>
            <w:r>
              <w:rPr>
                <w:sz w:val="24"/>
                <w:szCs w:val="20"/>
              </w:rPr>
              <w:lastRenderedPageBreak/>
              <w:t>Nu a fost constatată încălcarea art. 6, alin. 1</w:t>
            </w:r>
          </w:p>
          <w:p w14:paraId="29FC7E3D" w14:textId="322E3EDB" w:rsidR="0017299D" w:rsidRDefault="0017299D" w:rsidP="0017299D">
            <w:pPr>
              <w:jc w:val="center"/>
              <w:rPr>
                <w:sz w:val="24"/>
                <w:szCs w:val="20"/>
              </w:rPr>
            </w:pPr>
            <w:r>
              <w:rPr>
                <w:sz w:val="24"/>
                <w:szCs w:val="20"/>
              </w:rPr>
              <w:t>Nu a fost constatată încălcarea art. 2 din Prot. nr. 7</w:t>
            </w:r>
          </w:p>
          <w:p w14:paraId="2BF7E7CA" w14:textId="51F6745B" w:rsidR="0017299D" w:rsidRPr="00255CE0" w:rsidRDefault="0017299D" w:rsidP="0017299D">
            <w:pPr>
              <w:jc w:val="center"/>
              <w:rPr>
                <w:sz w:val="24"/>
                <w:szCs w:val="20"/>
              </w:rPr>
            </w:pPr>
            <w:r>
              <w:rPr>
                <w:sz w:val="24"/>
                <w:szCs w:val="20"/>
              </w:rPr>
              <w:t>Nu s-au acordat despăgubiri</w:t>
            </w:r>
          </w:p>
        </w:tc>
      </w:tr>
      <w:tr w:rsidR="0017299D" w:rsidRPr="00255CE0" w14:paraId="18140604" w14:textId="77777777" w:rsidTr="00EA4515">
        <w:tc>
          <w:tcPr>
            <w:tcW w:w="534" w:type="dxa"/>
          </w:tcPr>
          <w:p w14:paraId="061D4730" w14:textId="200BAFC2" w:rsidR="0017299D" w:rsidRPr="00255CE0" w:rsidRDefault="0017299D" w:rsidP="0017299D">
            <w:pPr>
              <w:jc w:val="center"/>
              <w:rPr>
                <w:sz w:val="24"/>
                <w:szCs w:val="20"/>
              </w:rPr>
            </w:pPr>
            <w:r w:rsidRPr="00255CE0">
              <w:rPr>
                <w:sz w:val="24"/>
                <w:szCs w:val="20"/>
              </w:rPr>
              <w:t>15</w:t>
            </w:r>
          </w:p>
        </w:tc>
        <w:tc>
          <w:tcPr>
            <w:tcW w:w="1549" w:type="dxa"/>
          </w:tcPr>
          <w:p w14:paraId="2C40B2D6" w14:textId="1663E7D9" w:rsidR="0017299D" w:rsidRPr="00255CE0" w:rsidRDefault="0017299D" w:rsidP="0017299D">
            <w:pPr>
              <w:jc w:val="center"/>
              <w:rPr>
                <w:sz w:val="24"/>
                <w:szCs w:val="20"/>
              </w:rPr>
            </w:pPr>
            <w:r>
              <w:rPr>
                <w:sz w:val="24"/>
                <w:szCs w:val="20"/>
              </w:rPr>
              <w:t>Art. 3 – Interzicerea torturii</w:t>
            </w:r>
          </w:p>
        </w:tc>
        <w:tc>
          <w:tcPr>
            <w:tcW w:w="2029" w:type="dxa"/>
          </w:tcPr>
          <w:p w14:paraId="491990A3" w14:textId="2E108E91" w:rsidR="0017299D" w:rsidRPr="00255CE0" w:rsidRDefault="0017299D" w:rsidP="0017299D">
            <w:pPr>
              <w:jc w:val="center"/>
              <w:rPr>
                <w:sz w:val="24"/>
                <w:szCs w:val="20"/>
              </w:rPr>
            </w:pPr>
            <w:r w:rsidRPr="009F1FE1">
              <w:rPr>
                <w:sz w:val="24"/>
                <w:szCs w:val="20"/>
              </w:rPr>
              <w:t xml:space="preserve">Interdicția </w:t>
            </w:r>
            <w:r>
              <w:rPr>
                <w:sz w:val="24"/>
                <w:szCs w:val="20"/>
              </w:rPr>
              <w:t>relelor tratamente,</w:t>
            </w:r>
            <w:r w:rsidRPr="009F1FE1">
              <w:rPr>
                <w:sz w:val="24"/>
                <w:szCs w:val="20"/>
              </w:rPr>
              <w:t xml:space="preserve"> extr</w:t>
            </w:r>
            <w:r>
              <w:rPr>
                <w:sz w:val="24"/>
                <w:szCs w:val="20"/>
              </w:rPr>
              <w:t>ă</w:t>
            </w:r>
            <w:r w:rsidRPr="009F1FE1">
              <w:rPr>
                <w:sz w:val="24"/>
                <w:szCs w:val="20"/>
              </w:rPr>
              <w:t>dare</w:t>
            </w:r>
            <w:r>
              <w:rPr>
                <w:sz w:val="24"/>
                <w:szCs w:val="20"/>
              </w:rPr>
              <w:t>,</w:t>
            </w:r>
            <w:r w:rsidRPr="009F1FE1">
              <w:rPr>
                <w:sz w:val="24"/>
                <w:szCs w:val="20"/>
              </w:rPr>
              <w:t xml:space="preserve"> riscul pentru minorități etnice</w:t>
            </w:r>
          </w:p>
        </w:tc>
        <w:tc>
          <w:tcPr>
            <w:tcW w:w="1436" w:type="dxa"/>
          </w:tcPr>
          <w:p w14:paraId="74CE8F55" w14:textId="4E2FF86E" w:rsidR="0017299D" w:rsidRPr="00255CE0" w:rsidRDefault="0017299D" w:rsidP="0017299D">
            <w:pPr>
              <w:jc w:val="center"/>
              <w:rPr>
                <w:sz w:val="24"/>
                <w:szCs w:val="20"/>
              </w:rPr>
            </w:pPr>
            <w:r>
              <w:rPr>
                <w:sz w:val="24"/>
                <w:szCs w:val="20"/>
              </w:rPr>
              <w:t>29.04.2022, Khasanov și Rakhmanov c. Rusia [MC]</w:t>
            </w:r>
          </w:p>
        </w:tc>
        <w:tc>
          <w:tcPr>
            <w:tcW w:w="1816" w:type="dxa"/>
          </w:tcPr>
          <w:p w14:paraId="335DB314" w14:textId="550117D6" w:rsidR="0017299D" w:rsidRPr="00255CE0" w:rsidRDefault="0017299D" w:rsidP="0017299D">
            <w:pPr>
              <w:jc w:val="center"/>
              <w:rPr>
                <w:sz w:val="24"/>
                <w:szCs w:val="20"/>
              </w:rPr>
            </w:pPr>
            <w:r>
              <w:rPr>
                <w:sz w:val="24"/>
                <w:szCs w:val="20"/>
              </w:rPr>
              <w:t>Extrădare, etnici Uzbeci, Rusia, Kârgâzstan, rele tratemente, r. 39 din Regulementul CtEDO</w:t>
            </w:r>
          </w:p>
        </w:tc>
        <w:tc>
          <w:tcPr>
            <w:tcW w:w="2002" w:type="dxa"/>
          </w:tcPr>
          <w:p w14:paraId="14DCF654" w14:textId="214CF5DB" w:rsidR="0017299D" w:rsidRDefault="0017299D" w:rsidP="0017299D">
            <w:pPr>
              <w:jc w:val="both"/>
              <w:rPr>
                <w:sz w:val="24"/>
                <w:szCs w:val="20"/>
              </w:rPr>
            </w:pPr>
            <w:r w:rsidRPr="00255CE0">
              <w:rPr>
                <w:sz w:val="24"/>
                <w:szCs w:val="20"/>
              </w:rPr>
              <w:t>– CtEDO</w:t>
            </w:r>
            <w:r>
              <w:rPr>
                <w:sz w:val="24"/>
                <w:szCs w:val="20"/>
              </w:rPr>
              <w:t xml:space="preserve"> </w:t>
            </w:r>
            <w:r w:rsidRPr="00884EF8">
              <w:rPr>
                <w:sz w:val="24"/>
                <w:szCs w:val="20"/>
              </w:rPr>
              <w:t>a reținut că</w:t>
            </w:r>
            <w:r>
              <w:rPr>
                <w:sz w:val="24"/>
                <w:szCs w:val="20"/>
              </w:rPr>
              <w:t xml:space="preserve"> </w:t>
            </w:r>
            <w:r w:rsidRPr="00884EF8">
              <w:rPr>
                <w:sz w:val="24"/>
                <w:szCs w:val="20"/>
              </w:rPr>
              <w:t xml:space="preserve">situația generală în Kârgâzstan nu justifică </w:t>
            </w:r>
            <w:r>
              <w:rPr>
                <w:sz w:val="24"/>
                <w:szCs w:val="20"/>
              </w:rPr>
              <w:t>o</w:t>
            </w:r>
            <w:r w:rsidRPr="00884EF8">
              <w:rPr>
                <w:sz w:val="24"/>
                <w:szCs w:val="20"/>
              </w:rPr>
              <w:t xml:space="preserve"> interdicție totală a extrădărilor</w:t>
            </w:r>
            <w:r>
              <w:rPr>
                <w:sz w:val="24"/>
                <w:szCs w:val="20"/>
              </w:rPr>
              <w:t>.</w:t>
            </w:r>
          </w:p>
          <w:p w14:paraId="6727405D" w14:textId="77777777" w:rsidR="0017299D" w:rsidRDefault="0017299D" w:rsidP="0017299D">
            <w:pPr>
              <w:jc w:val="both"/>
              <w:rPr>
                <w:sz w:val="24"/>
                <w:szCs w:val="20"/>
              </w:rPr>
            </w:pPr>
            <w:r w:rsidRPr="00255CE0">
              <w:rPr>
                <w:sz w:val="24"/>
                <w:szCs w:val="20"/>
              </w:rPr>
              <w:t>– CtEDO</w:t>
            </w:r>
            <w:r>
              <w:rPr>
                <w:sz w:val="24"/>
                <w:szCs w:val="20"/>
              </w:rPr>
              <w:t xml:space="preserve"> a afirmat că </w:t>
            </w:r>
            <w:r w:rsidRPr="00884EF8">
              <w:rPr>
                <w:sz w:val="24"/>
                <w:szCs w:val="20"/>
              </w:rPr>
              <w:t xml:space="preserve">nu există dovezi că </w:t>
            </w:r>
            <w:r>
              <w:rPr>
                <w:sz w:val="24"/>
                <w:szCs w:val="20"/>
              </w:rPr>
              <w:t xml:space="preserve">etnicii </w:t>
            </w:r>
            <w:r w:rsidRPr="00884EF8">
              <w:rPr>
                <w:sz w:val="24"/>
                <w:szCs w:val="20"/>
              </w:rPr>
              <w:t>uzbeci continuă să fie expuși sistematic la tratamente rele</w:t>
            </w:r>
            <w:r>
              <w:rPr>
                <w:sz w:val="24"/>
                <w:szCs w:val="20"/>
              </w:rPr>
              <w:t>.</w:t>
            </w:r>
            <w:r w:rsidRPr="00884EF8">
              <w:rPr>
                <w:sz w:val="24"/>
                <w:szCs w:val="20"/>
              </w:rPr>
              <w:t xml:space="preserve"> </w:t>
            </w:r>
          </w:p>
          <w:p w14:paraId="69C2A239" w14:textId="77777777" w:rsidR="0017299D" w:rsidRDefault="0017299D" w:rsidP="0017299D">
            <w:pPr>
              <w:jc w:val="both"/>
              <w:rPr>
                <w:sz w:val="24"/>
                <w:szCs w:val="20"/>
              </w:rPr>
            </w:pPr>
            <w:r w:rsidRPr="00255CE0">
              <w:rPr>
                <w:sz w:val="24"/>
                <w:szCs w:val="20"/>
              </w:rPr>
              <w:t>–</w:t>
            </w:r>
            <w:r>
              <w:rPr>
                <w:sz w:val="24"/>
                <w:szCs w:val="20"/>
              </w:rPr>
              <w:t xml:space="preserve"> </w:t>
            </w:r>
            <w:r w:rsidRPr="00255CE0">
              <w:rPr>
                <w:sz w:val="24"/>
                <w:szCs w:val="20"/>
              </w:rPr>
              <w:t>CtEDO</w:t>
            </w:r>
            <w:r>
              <w:rPr>
                <w:sz w:val="24"/>
                <w:szCs w:val="20"/>
              </w:rPr>
              <w:t xml:space="preserve"> a constatat că </w:t>
            </w:r>
            <w:r w:rsidRPr="00884EF8">
              <w:rPr>
                <w:sz w:val="24"/>
                <w:szCs w:val="20"/>
              </w:rPr>
              <w:t xml:space="preserve">reclamanții nu au demonstrat </w:t>
            </w:r>
            <w:r>
              <w:rPr>
                <w:sz w:val="24"/>
                <w:szCs w:val="20"/>
              </w:rPr>
              <w:t xml:space="preserve">un </w:t>
            </w:r>
            <w:r w:rsidRPr="00884EF8">
              <w:rPr>
                <w:sz w:val="24"/>
                <w:szCs w:val="20"/>
              </w:rPr>
              <w:t xml:space="preserve">risc individual de </w:t>
            </w:r>
            <w:r>
              <w:rPr>
                <w:sz w:val="24"/>
                <w:szCs w:val="20"/>
              </w:rPr>
              <w:t>a fi supuși relelor tratamente.</w:t>
            </w:r>
          </w:p>
          <w:p w14:paraId="10E07B3F" w14:textId="77777777" w:rsidR="0017299D" w:rsidRDefault="0017299D" w:rsidP="0017299D">
            <w:pPr>
              <w:jc w:val="both"/>
              <w:rPr>
                <w:sz w:val="24"/>
                <w:szCs w:val="20"/>
              </w:rPr>
            </w:pPr>
            <w:r w:rsidRPr="00255CE0">
              <w:rPr>
                <w:sz w:val="24"/>
                <w:szCs w:val="20"/>
              </w:rPr>
              <w:t>– CtEDO</w:t>
            </w:r>
            <w:r>
              <w:rPr>
                <w:sz w:val="24"/>
                <w:szCs w:val="20"/>
              </w:rPr>
              <w:t xml:space="preserve"> a reținut că </w:t>
            </w:r>
            <w:r w:rsidRPr="00884EF8">
              <w:rPr>
                <w:sz w:val="24"/>
                <w:szCs w:val="20"/>
              </w:rPr>
              <w:t>evaluarea autorităților ruse a fost adecvată</w:t>
            </w:r>
            <w:r>
              <w:rPr>
                <w:sz w:val="24"/>
                <w:szCs w:val="20"/>
              </w:rPr>
              <w:t xml:space="preserve">. </w:t>
            </w:r>
          </w:p>
          <w:p w14:paraId="2CABE234" w14:textId="184FCA49" w:rsidR="0017299D" w:rsidRPr="00255CE0" w:rsidRDefault="0017299D" w:rsidP="0017299D">
            <w:pPr>
              <w:jc w:val="both"/>
              <w:rPr>
                <w:sz w:val="24"/>
                <w:szCs w:val="20"/>
              </w:rPr>
            </w:pPr>
            <w:r w:rsidRPr="00255CE0">
              <w:rPr>
                <w:sz w:val="24"/>
                <w:szCs w:val="20"/>
              </w:rPr>
              <w:t>– CtEDO</w:t>
            </w:r>
            <w:r>
              <w:rPr>
                <w:sz w:val="24"/>
                <w:szCs w:val="20"/>
              </w:rPr>
              <w:t xml:space="preserve"> a constatat că </w:t>
            </w:r>
            <w:r w:rsidRPr="00884EF8">
              <w:rPr>
                <w:sz w:val="24"/>
                <w:szCs w:val="20"/>
              </w:rPr>
              <w:t>nu se justifică</w:t>
            </w:r>
            <w:r>
              <w:rPr>
                <w:sz w:val="24"/>
                <w:szCs w:val="20"/>
              </w:rPr>
              <w:t xml:space="preserve"> </w:t>
            </w:r>
            <w:r w:rsidRPr="00884EF8">
              <w:rPr>
                <w:sz w:val="24"/>
                <w:szCs w:val="20"/>
              </w:rPr>
              <w:t xml:space="preserve">examinarea în </w:t>
            </w:r>
            <w:r w:rsidRPr="00884EF8">
              <w:rPr>
                <w:sz w:val="24"/>
                <w:szCs w:val="20"/>
              </w:rPr>
              <w:lastRenderedPageBreak/>
              <w:t>detaliu a garanțiilor oferite de autoritățile kârgâze.</w:t>
            </w:r>
          </w:p>
        </w:tc>
        <w:tc>
          <w:tcPr>
            <w:tcW w:w="2340" w:type="dxa"/>
          </w:tcPr>
          <w:p w14:paraId="298F1BA3" w14:textId="77777777" w:rsidR="0017299D" w:rsidRDefault="0017299D" w:rsidP="0017299D">
            <w:pPr>
              <w:jc w:val="center"/>
              <w:rPr>
                <w:sz w:val="24"/>
                <w:szCs w:val="20"/>
              </w:rPr>
            </w:pPr>
            <w:r>
              <w:rPr>
                <w:sz w:val="24"/>
                <w:szCs w:val="20"/>
              </w:rPr>
              <w:lastRenderedPageBreak/>
              <w:t>Nu va fi constatată încălcarea art. 3 în cazul extrădării oricărui dintre cei doi reclamanți</w:t>
            </w:r>
          </w:p>
          <w:p w14:paraId="5911B9DC" w14:textId="0EC2F980" w:rsidR="0017299D" w:rsidRPr="00255CE0" w:rsidRDefault="0017299D" w:rsidP="0017299D">
            <w:pPr>
              <w:jc w:val="center"/>
              <w:rPr>
                <w:sz w:val="24"/>
                <w:szCs w:val="20"/>
              </w:rPr>
            </w:pPr>
            <w:r>
              <w:rPr>
                <w:sz w:val="24"/>
                <w:szCs w:val="20"/>
              </w:rPr>
              <w:t>Măsurile provizorii instituite prin r. 39 din Regulamentul CtEDO care interziceau Rusiei să extrădeze reclamanții în cauză în Kârgâzstan, încetează să mai fie aplicabile</w:t>
            </w:r>
          </w:p>
        </w:tc>
      </w:tr>
    </w:tbl>
    <w:p w14:paraId="34B357AB" w14:textId="77777777" w:rsidR="003A5DAD" w:rsidRDefault="003A5DAD" w:rsidP="003A5DAD">
      <w:pPr>
        <w:spacing w:after="0"/>
        <w:jc w:val="both"/>
      </w:pPr>
    </w:p>
    <w:p w14:paraId="42354754" w14:textId="5373FB79" w:rsidR="00EF64C5" w:rsidRPr="00EF64C5" w:rsidRDefault="00EF64C5" w:rsidP="003A5DAD">
      <w:pPr>
        <w:spacing w:after="0"/>
        <w:jc w:val="both"/>
        <w:rPr>
          <w:b/>
          <w:bCs/>
        </w:rPr>
      </w:pPr>
      <w:r w:rsidRPr="00EF64C5">
        <w:rPr>
          <w:b/>
          <w:bCs/>
        </w:rPr>
        <w:t>Autor: Gabriel Vescu</w:t>
      </w:r>
    </w:p>
    <w:sectPr w:rsidR="00EF64C5" w:rsidRPr="00EF64C5"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708E9"/>
    <w:multiLevelType w:val="multilevel"/>
    <w:tmpl w:val="FFB8F9E2"/>
    <w:lvl w:ilvl="0">
      <w:start w:val="2"/>
      <w:numFmt w:val="decimal"/>
      <w:lvlText w:val="%1."/>
      <w:lvlJc w:val="left"/>
      <w:pPr>
        <w:tabs>
          <w:tab w:val="num" w:pos="-360"/>
        </w:tabs>
        <w:ind w:left="-360" w:hanging="360"/>
      </w:pPr>
    </w:lvl>
    <w:lvl w:ilvl="1" w:tentative="1">
      <w:start w:val="1"/>
      <w:numFmt w:val="decimal"/>
      <w:lvlText w:val="%2."/>
      <w:lvlJc w:val="left"/>
      <w:pPr>
        <w:tabs>
          <w:tab w:val="num" w:pos="360"/>
        </w:tabs>
        <w:ind w:left="360" w:hanging="360"/>
      </w:pPr>
    </w:lvl>
    <w:lvl w:ilvl="2" w:tentative="1">
      <w:start w:val="1"/>
      <w:numFmt w:val="decimal"/>
      <w:lvlText w:val="%3."/>
      <w:lvlJc w:val="left"/>
      <w:pPr>
        <w:tabs>
          <w:tab w:val="num" w:pos="1080"/>
        </w:tabs>
        <w:ind w:left="1080" w:hanging="360"/>
      </w:pPr>
    </w:lvl>
    <w:lvl w:ilvl="3" w:tentative="1">
      <w:start w:val="1"/>
      <w:numFmt w:val="decimal"/>
      <w:lvlText w:val="%4."/>
      <w:lvlJc w:val="left"/>
      <w:pPr>
        <w:tabs>
          <w:tab w:val="num" w:pos="1800"/>
        </w:tabs>
        <w:ind w:left="1800" w:hanging="360"/>
      </w:pPr>
    </w:lvl>
    <w:lvl w:ilvl="4" w:tentative="1">
      <w:start w:val="1"/>
      <w:numFmt w:val="decimal"/>
      <w:lvlText w:val="%5."/>
      <w:lvlJc w:val="left"/>
      <w:pPr>
        <w:tabs>
          <w:tab w:val="num" w:pos="2520"/>
        </w:tabs>
        <w:ind w:left="2520" w:hanging="360"/>
      </w:pPr>
    </w:lvl>
    <w:lvl w:ilvl="5" w:tentative="1">
      <w:start w:val="1"/>
      <w:numFmt w:val="decimal"/>
      <w:lvlText w:val="%6."/>
      <w:lvlJc w:val="left"/>
      <w:pPr>
        <w:tabs>
          <w:tab w:val="num" w:pos="3240"/>
        </w:tabs>
        <w:ind w:left="3240" w:hanging="360"/>
      </w:pPr>
    </w:lvl>
    <w:lvl w:ilvl="6" w:tentative="1">
      <w:start w:val="1"/>
      <w:numFmt w:val="decimal"/>
      <w:lvlText w:val="%7."/>
      <w:lvlJc w:val="left"/>
      <w:pPr>
        <w:tabs>
          <w:tab w:val="num" w:pos="3960"/>
        </w:tabs>
        <w:ind w:left="3960" w:hanging="360"/>
      </w:pPr>
    </w:lvl>
    <w:lvl w:ilvl="7" w:tentative="1">
      <w:start w:val="1"/>
      <w:numFmt w:val="decimal"/>
      <w:lvlText w:val="%8."/>
      <w:lvlJc w:val="left"/>
      <w:pPr>
        <w:tabs>
          <w:tab w:val="num" w:pos="4680"/>
        </w:tabs>
        <w:ind w:left="4680" w:hanging="360"/>
      </w:pPr>
    </w:lvl>
    <w:lvl w:ilvl="8" w:tentative="1">
      <w:start w:val="1"/>
      <w:numFmt w:val="decimal"/>
      <w:lvlText w:val="%9."/>
      <w:lvlJc w:val="left"/>
      <w:pPr>
        <w:tabs>
          <w:tab w:val="num" w:pos="5400"/>
        </w:tabs>
        <w:ind w:left="5400" w:hanging="360"/>
      </w:pPr>
    </w:lvl>
  </w:abstractNum>
  <w:abstractNum w:abstractNumId="1" w15:restartNumberingAfterBreak="0">
    <w:nsid w:val="09A234DC"/>
    <w:multiLevelType w:val="hybridMultilevel"/>
    <w:tmpl w:val="FDBA69B4"/>
    <w:lvl w:ilvl="0" w:tplc="47DC5450">
      <w:start w:val="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836C78"/>
    <w:multiLevelType w:val="hybridMultilevel"/>
    <w:tmpl w:val="6CC64460"/>
    <w:lvl w:ilvl="0" w:tplc="13389F36">
      <w:start w:val="2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D7E54"/>
    <w:multiLevelType w:val="multilevel"/>
    <w:tmpl w:val="822C3C8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11D129DB"/>
    <w:multiLevelType w:val="multilevel"/>
    <w:tmpl w:val="F5AC8A8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3688503A"/>
    <w:multiLevelType w:val="multilevel"/>
    <w:tmpl w:val="2FE27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377C2B"/>
    <w:multiLevelType w:val="hybridMultilevel"/>
    <w:tmpl w:val="3B4A13AC"/>
    <w:lvl w:ilvl="0" w:tplc="69EE2BF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9F5E89"/>
    <w:multiLevelType w:val="multilevel"/>
    <w:tmpl w:val="F0D6E0E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3FF30CBB"/>
    <w:multiLevelType w:val="multilevel"/>
    <w:tmpl w:val="2B6AED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8F38E6"/>
    <w:multiLevelType w:val="hybridMultilevel"/>
    <w:tmpl w:val="0EF4E230"/>
    <w:lvl w:ilvl="0" w:tplc="20AA73B2">
      <w:start w:val="2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D7337B"/>
    <w:multiLevelType w:val="multilevel"/>
    <w:tmpl w:val="6EDC70F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5E7D350E"/>
    <w:multiLevelType w:val="multilevel"/>
    <w:tmpl w:val="30047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05006C"/>
    <w:multiLevelType w:val="multilevel"/>
    <w:tmpl w:val="B0F0952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66174BFA"/>
    <w:multiLevelType w:val="multilevel"/>
    <w:tmpl w:val="EFB4559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6A0A5399"/>
    <w:multiLevelType w:val="hybridMultilevel"/>
    <w:tmpl w:val="D3504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5B152B"/>
    <w:multiLevelType w:val="multilevel"/>
    <w:tmpl w:val="974016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753681"/>
    <w:multiLevelType w:val="hybridMultilevel"/>
    <w:tmpl w:val="BEB48382"/>
    <w:lvl w:ilvl="0" w:tplc="48C419B6">
      <w:start w:val="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8"/>
  </w:num>
  <w:num w:numId="4">
    <w:abstractNumId w:val="10"/>
  </w:num>
  <w:num w:numId="5">
    <w:abstractNumId w:val="4"/>
  </w:num>
  <w:num w:numId="6">
    <w:abstractNumId w:val="3"/>
  </w:num>
  <w:num w:numId="7">
    <w:abstractNumId w:val="12"/>
  </w:num>
  <w:num w:numId="8">
    <w:abstractNumId w:val="11"/>
  </w:num>
  <w:num w:numId="9">
    <w:abstractNumId w:val="0"/>
  </w:num>
  <w:num w:numId="10">
    <w:abstractNumId w:val="15"/>
  </w:num>
  <w:num w:numId="11">
    <w:abstractNumId w:val="14"/>
  </w:num>
  <w:num w:numId="12">
    <w:abstractNumId w:val="16"/>
  </w:num>
  <w:num w:numId="13">
    <w:abstractNumId w:val="1"/>
  </w:num>
  <w:num w:numId="14">
    <w:abstractNumId w:val="5"/>
  </w:num>
  <w:num w:numId="15">
    <w:abstractNumId w:val="2"/>
  </w:num>
  <w:num w:numId="16">
    <w:abstractNumId w:val="9"/>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59E"/>
    <w:rsid w:val="00006C71"/>
    <w:rsid w:val="000349CF"/>
    <w:rsid w:val="00037531"/>
    <w:rsid w:val="00042167"/>
    <w:rsid w:val="000810E8"/>
    <w:rsid w:val="000A3D50"/>
    <w:rsid w:val="000D2927"/>
    <w:rsid w:val="0016499F"/>
    <w:rsid w:val="0017299D"/>
    <w:rsid w:val="00203DD4"/>
    <w:rsid w:val="00255CE0"/>
    <w:rsid w:val="002A76B6"/>
    <w:rsid w:val="002D63B3"/>
    <w:rsid w:val="00315093"/>
    <w:rsid w:val="00356D36"/>
    <w:rsid w:val="00380530"/>
    <w:rsid w:val="00392508"/>
    <w:rsid w:val="003A5DAD"/>
    <w:rsid w:val="00415C70"/>
    <w:rsid w:val="004E05DF"/>
    <w:rsid w:val="004E0C4C"/>
    <w:rsid w:val="004E7743"/>
    <w:rsid w:val="004F4E9A"/>
    <w:rsid w:val="00507100"/>
    <w:rsid w:val="00536F99"/>
    <w:rsid w:val="00576C93"/>
    <w:rsid w:val="005779A4"/>
    <w:rsid w:val="005A271E"/>
    <w:rsid w:val="005B5D91"/>
    <w:rsid w:val="00617941"/>
    <w:rsid w:val="00636DC3"/>
    <w:rsid w:val="00644E8B"/>
    <w:rsid w:val="00652058"/>
    <w:rsid w:val="0066426C"/>
    <w:rsid w:val="006C0B77"/>
    <w:rsid w:val="006C6E8A"/>
    <w:rsid w:val="007919EA"/>
    <w:rsid w:val="00805A3C"/>
    <w:rsid w:val="00806BBA"/>
    <w:rsid w:val="0081309E"/>
    <w:rsid w:val="008242FF"/>
    <w:rsid w:val="008524D9"/>
    <w:rsid w:val="00870751"/>
    <w:rsid w:val="00884EF8"/>
    <w:rsid w:val="0089797A"/>
    <w:rsid w:val="008C590B"/>
    <w:rsid w:val="00915628"/>
    <w:rsid w:val="00922C48"/>
    <w:rsid w:val="0095454C"/>
    <w:rsid w:val="0099691F"/>
    <w:rsid w:val="009A3C98"/>
    <w:rsid w:val="009C59AF"/>
    <w:rsid w:val="009F1FE1"/>
    <w:rsid w:val="00A002F2"/>
    <w:rsid w:val="00A1107B"/>
    <w:rsid w:val="00A57FCA"/>
    <w:rsid w:val="00A63A01"/>
    <w:rsid w:val="00A71CD6"/>
    <w:rsid w:val="00A976D4"/>
    <w:rsid w:val="00AD0C96"/>
    <w:rsid w:val="00AD5C97"/>
    <w:rsid w:val="00B55089"/>
    <w:rsid w:val="00B73E3E"/>
    <w:rsid w:val="00B915B7"/>
    <w:rsid w:val="00BA6C8C"/>
    <w:rsid w:val="00BD1EDD"/>
    <w:rsid w:val="00BD62DB"/>
    <w:rsid w:val="00BE24A4"/>
    <w:rsid w:val="00C050DA"/>
    <w:rsid w:val="00C95F65"/>
    <w:rsid w:val="00CE6198"/>
    <w:rsid w:val="00D05A29"/>
    <w:rsid w:val="00D23A0B"/>
    <w:rsid w:val="00D63B9D"/>
    <w:rsid w:val="00DA0C96"/>
    <w:rsid w:val="00DE631B"/>
    <w:rsid w:val="00E6185C"/>
    <w:rsid w:val="00E931E1"/>
    <w:rsid w:val="00EA4515"/>
    <w:rsid w:val="00EA59DF"/>
    <w:rsid w:val="00EB0C26"/>
    <w:rsid w:val="00EE4070"/>
    <w:rsid w:val="00EF64C5"/>
    <w:rsid w:val="00F12C76"/>
    <w:rsid w:val="00F32FA9"/>
    <w:rsid w:val="00F47A8F"/>
    <w:rsid w:val="00F47AE5"/>
    <w:rsid w:val="00FA15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6D807"/>
  <w15:chartTrackingRefBased/>
  <w15:docId w15:val="{0F47A8D6-114F-45F2-B83C-34688C380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lang w:val="ro-MD"/>
    </w:rPr>
  </w:style>
  <w:style w:type="paragraph" w:styleId="1">
    <w:name w:val="heading 1"/>
    <w:basedOn w:val="a"/>
    <w:next w:val="a"/>
    <w:link w:val="10"/>
    <w:uiPriority w:val="9"/>
    <w:qFormat/>
    <w:rsid w:val="00FA159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FA159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FA159E"/>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FA159E"/>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FA159E"/>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FA159E"/>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FA159E"/>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FA159E"/>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FA159E"/>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159E"/>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FA159E"/>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FA159E"/>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FA159E"/>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FA159E"/>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FA159E"/>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FA159E"/>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FA159E"/>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FA159E"/>
    <w:rPr>
      <w:rFonts w:eastAsiaTheme="majorEastAsia" w:cstheme="majorBidi"/>
      <w:color w:val="272727" w:themeColor="text1" w:themeTint="D8"/>
      <w:sz w:val="28"/>
    </w:rPr>
  </w:style>
  <w:style w:type="paragraph" w:styleId="a3">
    <w:name w:val="Title"/>
    <w:basedOn w:val="a"/>
    <w:next w:val="a"/>
    <w:link w:val="a4"/>
    <w:uiPriority w:val="10"/>
    <w:qFormat/>
    <w:rsid w:val="00FA159E"/>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FA15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159E"/>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FA159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A159E"/>
    <w:pPr>
      <w:spacing w:before="160"/>
      <w:jc w:val="center"/>
    </w:pPr>
    <w:rPr>
      <w:i/>
      <w:iCs/>
      <w:color w:val="404040" w:themeColor="text1" w:themeTint="BF"/>
    </w:rPr>
  </w:style>
  <w:style w:type="character" w:customStyle="1" w:styleId="22">
    <w:name w:val="Цитата 2 Знак"/>
    <w:basedOn w:val="a0"/>
    <w:link w:val="21"/>
    <w:uiPriority w:val="29"/>
    <w:rsid w:val="00FA159E"/>
    <w:rPr>
      <w:rFonts w:ascii="Times New Roman" w:hAnsi="Times New Roman"/>
      <w:i/>
      <w:iCs/>
      <w:color w:val="404040" w:themeColor="text1" w:themeTint="BF"/>
      <w:sz w:val="28"/>
    </w:rPr>
  </w:style>
  <w:style w:type="paragraph" w:styleId="a7">
    <w:name w:val="List Paragraph"/>
    <w:basedOn w:val="a"/>
    <w:uiPriority w:val="34"/>
    <w:qFormat/>
    <w:rsid w:val="00FA159E"/>
    <w:pPr>
      <w:ind w:left="720"/>
      <w:contextualSpacing/>
    </w:pPr>
  </w:style>
  <w:style w:type="character" w:styleId="a8">
    <w:name w:val="Intense Emphasis"/>
    <w:basedOn w:val="a0"/>
    <w:uiPriority w:val="21"/>
    <w:qFormat/>
    <w:rsid w:val="00FA159E"/>
    <w:rPr>
      <w:i/>
      <w:iCs/>
      <w:color w:val="2E74B5" w:themeColor="accent1" w:themeShade="BF"/>
    </w:rPr>
  </w:style>
  <w:style w:type="paragraph" w:styleId="a9">
    <w:name w:val="Intense Quote"/>
    <w:basedOn w:val="a"/>
    <w:next w:val="a"/>
    <w:link w:val="aa"/>
    <w:uiPriority w:val="30"/>
    <w:qFormat/>
    <w:rsid w:val="00FA159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FA159E"/>
    <w:rPr>
      <w:rFonts w:ascii="Times New Roman" w:hAnsi="Times New Roman"/>
      <w:i/>
      <w:iCs/>
      <w:color w:val="2E74B5" w:themeColor="accent1" w:themeShade="BF"/>
      <w:sz w:val="28"/>
    </w:rPr>
  </w:style>
  <w:style w:type="character" w:styleId="ab">
    <w:name w:val="Intense Reference"/>
    <w:basedOn w:val="a0"/>
    <w:uiPriority w:val="32"/>
    <w:qFormat/>
    <w:rsid w:val="00FA159E"/>
    <w:rPr>
      <w:b/>
      <w:bCs/>
      <w:smallCaps/>
      <w:color w:val="2E74B5" w:themeColor="accent1" w:themeShade="BF"/>
      <w:spacing w:val="5"/>
    </w:rPr>
  </w:style>
  <w:style w:type="table" w:styleId="ac">
    <w:name w:val="Table Grid"/>
    <w:basedOn w:val="a1"/>
    <w:uiPriority w:val="39"/>
    <w:rsid w:val="00A11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EB0C26"/>
    <w:rPr>
      <w:color w:val="0563C1" w:themeColor="hyperlink"/>
      <w:u w:val="single"/>
    </w:rPr>
  </w:style>
  <w:style w:type="character" w:customStyle="1" w:styleId="UnresolvedMention">
    <w:name w:val="Unresolved Mention"/>
    <w:basedOn w:val="a0"/>
    <w:uiPriority w:val="99"/>
    <w:semiHidden/>
    <w:unhideWhenUsed/>
    <w:rsid w:val="003A5D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34C65-5638-4305-9307-430E15515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3476</Words>
  <Characters>19815</Characters>
  <Application>Microsoft Office Word</Application>
  <DocSecurity>0</DocSecurity>
  <Lines>165</Lines>
  <Paragraphs>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2025-12-18T17:00:00Z</dcterms:created>
  <dcterms:modified xsi:type="dcterms:W3CDTF">2025-12-18T17:00:00Z</dcterms:modified>
</cp:coreProperties>
</file>