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ACB" w:rsidRDefault="001F0ACB" w:rsidP="001F0ACB">
      <w:pPr>
        <w:spacing w:after="0"/>
        <w:rPr>
          <w:rFonts w:ascii="Times New Roman" w:hAnsi="Times New Roman" w:cs="Times New Roman"/>
          <w:i/>
          <w:sz w:val="24"/>
          <w:szCs w:val="24"/>
          <w:lang w:val="ro-MD"/>
        </w:rPr>
      </w:pPr>
      <w:bookmarkStart w:id="0" w:name="_GoBack"/>
      <w:bookmarkEnd w:id="0"/>
      <w:r w:rsidRPr="006F44C3">
        <w:rPr>
          <w:rFonts w:ascii="Times New Roman" w:hAnsi="Times New Roman" w:cs="Times New Roman"/>
          <w:b/>
          <w:sz w:val="24"/>
          <w:szCs w:val="24"/>
          <w:lang w:val="ro-MD"/>
        </w:rPr>
        <w:t>Principiile Aplicării Convenției Europene a Drepturilor Omului în Ordinea Juridică In</w:t>
      </w:r>
      <w:r>
        <w:rPr>
          <w:rFonts w:ascii="Times New Roman" w:hAnsi="Times New Roman" w:cs="Times New Roman"/>
          <w:b/>
          <w:sz w:val="24"/>
          <w:szCs w:val="24"/>
          <w:lang w:val="ro-MD"/>
        </w:rPr>
        <w:t xml:space="preserve">ternă                </w:t>
      </w:r>
      <w:r w:rsidRPr="006F44C3">
        <w:rPr>
          <w:rFonts w:ascii="Times New Roman" w:hAnsi="Times New Roman" w:cs="Times New Roman"/>
          <w:sz w:val="24"/>
          <w:szCs w:val="24"/>
          <w:lang w:val="ro-MD"/>
        </w:rPr>
        <w:t xml:space="preserve">                                                            </w:t>
      </w:r>
    </w:p>
    <w:p w:rsidR="001F0ACB" w:rsidRPr="006F44C3" w:rsidRDefault="001F0ACB" w:rsidP="001F0ACB">
      <w:pPr>
        <w:spacing w:after="0"/>
        <w:rPr>
          <w:rFonts w:ascii="Times New Roman" w:hAnsi="Times New Roman" w:cs="Times New Roman"/>
          <w:b/>
          <w:sz w:val="24"/>
          <w:szCs w:val="24"/>
          <w:lang w:val="ro-MD"/>
        </w:rPr>
      </w:pPr>
      <w:r>
        <w:rPr>
          <w:rFonts w:ascii="Times New Roman" w:hAnsi="Times New Roman" w:cs="Times New Roman"/>
          <w:b/>
          <w:sz w:val="24"/>
          <w:szCs w:val="24"/>
          <w:lang w:val="ro-MD"/>
        </w:rPr>
        <w:t>Sîrbu Alexandru</w:t>
      </w:r>
    </w:p>
    <w:p w:rsidR="001F0ACB" w:rsidRPr="006F44C3" w:rsidRDefault="001F0ACB" w:rsidP="000D26D8">
      <w:pPr>
        <w:rPr>
          <w:rFonts w:ascii="Times New Roman" w:hAnsi="Times New Roman" w:cs="Times New Roman"/>
          <w:b/>
          <w:sz w:val="32"/>
          <w:szCs w:val="32"/>
          <w:lang w:val="ro-MD"/>
        </w:rPr>
      </w:pPr>
      <w:r w:rsidRPr="006F44C3">
        <w:rPr>
          <w:rFonts w:ascii="Times New Roman" w:hAnsi="Times New Roman" w:cs="Times New Roman"/>
          <w:b/>
          <w:sz w:val="32"/>
          <w:szCs w:val="32"/>
          <w:lang w:val="ro-MD"/>
        </w:rPr>
        <w:t>Indice tabelar</w:t>
      </w:r>
    </w:p>
    <w:tbl>
      <w:tblPr>
        <w:tblStyle w:val="a3"/>
        <w:tblW w:w="15545" w:type="dxa"/>
        <w:tblLook w:val="04A0" w:firstRow="1" w:lastRow="0" w:firstColumn="1" w:lastColumn="0" w:noHBand="0" w:noVBand="1"/>
      </w:tblPr>
      <w:tblGrid>
        <w:gridCol w:w="922"/>
        <w:gridCol w:w="1976"/>
        <w:gridCol w:w="1830"/>
        <w:gridCol w:w="2255"/>
        <w:gridCol w:w="5333"/>
        <w:gridCol w:w="3229"/>
      </w:tblGrid>
      <w:tr w:rsidR="001F0ACB" w:rsidTr="001F0ACB">
        <w:trPr>
          <w:trHeight w:val="933"/>
        </w:trPr>
        <w:tc>
          <w:tcPr>
            <w:tcW w:w="933" w:type="dxa"/>
            <w:shd w:val="clear" w:color="auto" w:fill="FFFFFF" w:themeFill="background1"/>
          </w:tcPr>
          <w:p w:rsidR="001F0ACB" w:rsidRPr="005575B0" w:rsidRDefault="001F0ACB" w:rsidP="00143633">
            <w:pPr>
              <w:rPr>
                <w:rFonts w:ascii="Times New Roman" w:hAnsi="Times New Roman" w:cs="Times New Roman"/>
                <w:b/>
                <w:sz w:val="28"/>
                <w:szCs w:val="28"/>
                <w:lang w:val="en-US"/>
              </w:rPr>
            </w:pPr>
            <w:proofErr w:type="spellStart"/>
            <w:r w:rsidRPr="005575B0">
              <w:rPr>
                <w:rFonts w:ascii="Times New Roman" w:hAnsi="Times New Roman" w:cs="Times New Roman"/>
                <w:b/>
                <w:sz w:val="28"/>
                <w:szCs w:val="28"/>
                <w:lang w:val="en-US"/>
              </w:rPr>
              <w:t>Nr</w:t>
            </w:r>
            <w:proofErr w:type="spellEnd"/>
            <w:r w:rsidRPr="005575B0">
              <w:rPr>
                <w:rFonts w:ascii="Times New Roman" w:hAnsi="Times New Roman" w:cs="Times New Roman"/>
                <w:b/>
                <w:sz w:val="28"/>
                <w:szCs w:val="28"/>
                <w:lang w:val="en-US"/>
              </w:rPr>
              <w:t>.</w:t>
            </w:r>
          </w:p>
        </w:tc>
        <w:tc>
          <w:tcPr>
            <w:tcW w:w="1756" w:type="dxa"/>
            <w:shd w:val="clear" w:color="auto" w:fill="FFFFFF" w:themeFill="background1"/>
          </w:tcPr>
          <w:p w:rsidR="001F0ACB" w:rsidRPr="005575B0" w:rsidRDefault="001F0ACB" w:rsidP="00143633">
            <w:pPr>
              <w:jc w:val="center"/>
              <w:rPr>
                <w:rFonts w:ascii="Times New Roman" w:hAnsi="Times New Roman" w:cs="Times New Roman"/>
                <w:b/>
                <w:sz w:val="28"/>
                <w:szCs w:val="28"/>
                <w:lang w:val="ro-MD"/>
              </w:rPr>
            </w:pPr>
            <w:proofErr w:type="spellStart"/>
            <w:r w:rsidRPr="005575B0">
              <w:rPr>
                <w:rFonts w:ascii="Times New Roman" w:hAnsi="Times New Roman" w:cs="Times New Roman"/>
                <w:b/>
                <w:sz w:val="28"/>
                <w:szCs w:val="28"/>
                <w:lang w:val="en-US"/>
              </w:rPr>
              <w:t>Cauza</w:t>
            </w:r>
            <w:proofErr w:type="spellEnd"/>
          </w:p>
        </w:tc>
        <w:tc>
          <w:tcPr>
            <w:tcW w:w="1842" w:type="dxa"/>
            <w:shd w:val="clear" w:color="auto" w:fill="FFFFFF" w:themeFill="background1"/>
          </w:tcPr>
          <w:p w:rsidR="001F0ACB" w:rsidRPr="005575B0" w:rsidRDefault="001F0ACB"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Art. CEDO</w:t>
            </w:r>
          </w:p>
        </w:tc>
        <w:tc>
          <w:tcPr>
            <w:tcW w:w="2268" w:type="dxa"/>
            <w:shd w:val="clear" w:color="auto" w:fill="FFFFFF" w:themeFill="background1"/>
          </w:tcPr>
          <w:p w:rsidR="001F0ACB" w:rsidRPr="005575B0" w:rsidRDefault="001F0ACB" w:rsidP="00143633">
            <w:pPr>
              <w:jc w:val="center"/>
              <w:rPr>
                <w:rFonts w:ascii="Times New Roman" w:hAnsi="Times New Roman" w:cs="Times New Roman"/>
                <w:b/>
                <w:sz w:val="28"/>
                <w:szCs w:val="28"/>
                <w:lang w:val="ro-MD"/>
              </w:rPr>
            </w:pPr>
            <w:r w:rsidRPr="005575B0">
              <w:rPr>
                <w:rFonts w:ascii="Times New Roman" w:hAnsi="Times New Roman" w:cs="Times New Roman"/>
                <w:b/>
                <w:sz w:val="28"/>
                <w:szCs w:val="28"/>
                <w:lang w:val="ro-MD"/>
              </w:rPr>
              <w:t>Cuvinte cheie</w:t>
            </w:r>
          </w:p>
        </w:tc>
        <w:tc>
          <w:tcPr>
            <w:tcW w:w="5453" w:type="dxa"/>
            <w:shd w:val="clear" w:color="auto" w:fill="FFFFFF" w:themeFill="background1"/>
          </w:tcPr>
          <w:p w:rsidR="001F0ACB" w:rsidRPr="005575B0" w:rsidRDefault="001F0ACB" w:rsidP="00143633">
            <w:pPr>
              <w:jc w:val="center"/>
              <w:rPr>
                <w:rFonts w:ascii="Times New Roman" w:hAnsi="Times New Roman" w:cs="Times New Roman"/>
                <w:b/>
                <w:sz w:val="28"/>
                <w:szCs w:val="28"/>
                <w:lang w:val="ro-MD"/>
              </w:rPr>
            </w:pPr>
            <w:r>
              <w:rPr>
                <w:rFonts w:ascii="Times New Roman" w:hAnsi="Times New Roman" w:cs="Times New Roman"/>
                <w:b/>
                <w:sz w:val="28"/>
                <w:szCs w:val="28"/>
                <w:lang w:val="ro-MD"/>
              </w:rPr>
              <w:t>Fapte relevante și raționamentul Curții</w:t>
            </w:r>
          </w:p>
        </w:tc>
        <w:tc>
          <w:tcPr>
            <w:tcW w:w="3293" w:type="dxa"/>
            <w:shd w:val="clear" w:color="auto" w:fill="FFFFFF" w:themeFill="background1"/>
          </w:tcPr>
          <w:p w:rsidR="001F0ACB" w:rsidRPr="005575B0" w:rsidRDefault="001F0ACB" w:rsidP="001F0ACB">
            <w:pPr>
              <w:jc w:val="center"/>
              <w:rPr>
                <w:rFonts w:ascii="Times New Roman" w:hAnsi="Times New Roman" w:cs="Times New Roman"/>
                <w:b/>
                <w:sz w:val="28"/>
                <w:szCs w:val="28"/>
                <w:lang w:val="ro-MD"/>
              </w:rPr>
            </w:pPr>
            <w:r>
              <w:rPr>
                <w:rFonts w:ascii="Times New Roman" w:hAnsi="Times New Roman" w:cs="Times New Roman"/>
                <w:b/>
                <w:sz w:val="28"/>
                <w:szCs w:val="28"/>
                <w:lang w:val="ro-MD"/>
              </w:rPr>
              <w:t>Decizia Curții</w:t>
            </w:r>
          </w:p>
        </w:tc>
      </w:tr>
      <w:tr w:rsidR="001F0ACB" w:rsidRPr="006F44C3" w:rsidTr="00143633">
        <w:trPr>
          <w:trHeight w:val="766"/>
        </w:trPr>
        <w:tc>
          <w:tcPr>
            <w:tcW w:w="933" w:type="dxa"/>
          </w:tcPr>
          <w:p w:rsidR="001F0ACB" w:rsidRPr="006F44C3" w:rsidRDefault="001F0ACB" w:rsidP="00143633">
            <w:pPr>
              <w:rPr>
                <w:rFonts w:ascii="Times New Roman" w:hAnsi="Times New Roman" w:cs="Times New Roman"/>
                <w:sz w:val="24"/>
                <w:szCs w:val="24"/>
                <w:lang w:val="ro-RO"/>
              </w:rPr>
            </w:pPr>
            <w:r w:rsidRPr="006F44C3">
              <w:rPr>
                <w:rFonts w:ascii="Times New Roman" w:hAnsi="Times New Roman" w:cs="Times New Roman"/>
                <w:sz w:val="24"/>
                <w:szCs w:val="24"/>
                <w:lang w:val="ro-RO"/>
              </w:rPr>
              <w:t>1.</w:t>
            </w:r>
          </w:p>
        </w:tc>
        <w:tc>
          <w:tcPr>
            <w:tcW w:w="1756" w:type="dxa"/>
          </w:tcPr>
          <w:p w:rsidR="001F0ACB" w:rsidRPr="006F44C3" w:rsidRDefault="001F0ACB" w:rsidP="00143633">
            <w:pPr>
              <w:rPr>
                <w:rFonts w:ascii="Times New Roman" w:hAnsi="Times New Roman" w:cs="Times New Roman"/>
                <w:sz w:val="24"/>
                <w:szCs w:val="24"/>
                <w:lang w:val="ro-RO"/>
              </w:rPr>
            </w:pPr>
            <w:r w:rsidRPr="001F0ACB">
              <w:rPr>
                <w:rFonts w:ascii="Times New Roman" w:hAnsi="Times New Roman" w:cs="Times New Roman"/>
                <w:sz w:val="24"/>
                <w:szCs w:val="24"/>
                <w:lang w:val="ro-RO"/>
              </w:rPr>
              <w:t>Bobeico v. Moldova</w:t>
            </w:r>
          </w:p>
        </w:tc>
        <w:tc>
          <w:tcPr>
            <w:tcW w:w="1842"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6 §1</w:t>
            </w:r>
          </w:p>
          <w:p w:rsidR="001F0ACB" w:rsidRPr="006F44C3" w:rsidRDefault="001F0ACB" w:rsidP="00143633">
            <w:pPr>
              <w:rPr>
                <w:rFonts w:ascii="Times New Roman" w:hAnsi="Times New Roman" w:cs="Times New Roman"/>
                <w:sz w:val="24"/>
                <w:szCs w:val="24"/>
                <w:lang w:val="ro-RO"/>
              </w:rPr>
            </w:pPr>
          </w:p>
        </w:tc>
        <w:tc>
          <w:tcPr>
            <w:tcW w:w="2268" w:type="dxa"/>
          </w:tcPr>
          <w:p w:rsidR="001F0ACB" w:rsidRPr="006F44C3"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durata excesivă a procedurilor, lipsa diligenței, amânări repetate</w:t>
            </w:r>
          </w:p>
        </w:tc>
        <w:tc>
          <w:tcPr>
            <w:tcW w:w="5453" w:type="dxa"/>
          </w:tcPr>
          <w:p w:rsidR="001F0ACB" w:rsidRPr="006F44C3" w:rsidRDefault="001F0ACB" w:rsidP="00143633">
            <w:pPr>
              <w:rPr>
                <w:rFonts w:ascii="Times New Roman" w:hAnsi="Times New Roman" w:cs="Times New Roman"/>
                <w:sz w:val="24"/>
                <w:szCs w:val="24"/>
                <w:lang w:val="ro-RO"/>
              </w:rPr>
            </w:pPr>
            <w:r w:rsidRPr="001F0ACB">
              <w:rPr>
                <w:rFonts w:ascii="Times New Roman" w:hAnsi="Times New Roman" w:cs="Times New Roman"/>
                <w:sz w:val="24"/>
                <w:szCs w:val="24"/>
                <w:lang w:val="ro-RO"/>
              </w:rPr>
              <w:t>Curtea a constatat că procedura internă a durat peste 8 ani, perioadă considerată nejustificată, instanțele fiind responsabile pentru amânări repetate fără motive reale. Statul nu a organizat procedura într-un mod care să asigure soluționarea cauzei într-un termen rezonabil.</w:t>
            </w:r>
          </w:p>
        </w:tc>
        <w:tc>
          <w:tcPr>
            <w:tcW w:w="3293" w:type="dxa"/>
          </w:tcPr>
          <w:p w:rsidR="000D26D8" w:rsidRDefault="001F0ACB" w:rsidP="001F0ACB">
            <w:pPr>
              <w:rPr>
                <w:rFonts w:ascii="Times New Roman" w:hAnsi="Times New Roman" w:cs="Times New Roman"/>
                <w:sz w:val="24"/>
                <w:szCs w:val="24"/>
                <w:lang w:val="ro-RO"/>
              </w:rPr>
            </w:pPr>
            <w:r w:rsidRPr="000D26D8">
              <w:rPr>
                <w:rFonts w:ascii="Times New Roman" w:hAnsi="Times New Roman" w:cs="Times New Roman"/>
                <w:i/>
                <w:sz w:val="24"/>
                <w:szCs w:val="24"/>
                <w:lang w:val="ro-RO"/>
              </w:rPr>
              <w:t>Curtea a deciz</w:t>
            </w:r>
            <w:r>
              <w:rPr>
                <w:rFonts w:ascii="Times New Roman" w:hAnsi="Times New Roman" w:cs="Times New Roman"/>
                <w:sz w:val="24"/>
                <w:szCs w:val="24"/>
                <w:lang w:val="ro-RO"/>
              </w:rPr>
              <w:t xml:space="preserve"> </w:t>
            </w:r>
          </w:p>
          <w:p w:rsidR="000D26D8" w:rsidRDefault="001F0ACB" w:rsidP="001F0ACB">
            <w:pPr>
              <w:rPr>
                <w:rFonts w:ascii="Times New Roman" w:hAnsi="Times New Roman" w:cs="Times New Roman"/>
                <w:sz w:val="24"/>
                <w:szCs w:val="24"/>
                <w:lang w:val="ro-RO"/>
              </w:rPr>
            </w:pPr>
            <w:r>
              <w:rPr>
                <w:rFonts w:ascii="Times New Roman" w:hAnsi="Times New Roman" w:cs="Times New Roman"/>
                <w:sz w:val="24"/>
                <w:szCs w:val="24"/>
                <w:lang w:val="ro-RO"/>
              </w:rPr>
              <w:t xml:space="preserve">Încălcare art. 6 §1 </w:t>
            </w:r>
          </w:p>
          <w:p w:rsidR="001F0ACB" w:rsidRPr="006F44C3" w:rsidRDefault="000D26D8" w:rsidP="001F0ACB">
            <w:pPr>
              <w:rPr>
                <w:rFonts w:ascii="Times New Roman" w:hAnsi="Times New Roman" w:cs="Times New Roman"/>
                <w:sz w:val="24"/>
                <w:szCs w:val="24"/>
                <w:lang w:val="ro-RO"/>
              </w:rPr>
            </w:pPr>
            <w:r w:rsidRPr="000D26D8">
              <w:rPr>
                <w:rFonts w:ascii="Times New Roman" w:hAnsi="Times New Roman" w:cs="Times New Roman"/>
                <w:i/>
                <w:sz w:val="24"/>
                <w:szCs w:val="24"/>
                <w:lang w:val="ro-RO"/>
              </w:rPr>
              <w:t>Soluția</w:t>
            </w:r>
            <w:r>
              <w:rPr>
                <w:rFonts w:ascii="Times New Roman" w:hAnsi="Times New Roman" w:cs="Times New Roman"/>
                <w:sz w:val="24"/>
                <w:szCs w:val="24"/>
                <w:lang w:val="ro-RO"/>
              </w:rPr>
              <w:t xml:space="preserve">: </w:t>
            </w:r>
            <w:r w:rsidR="001F0ACB" w:rsidRPr="001F0ACB">
              <w:rPr>
                <w:rFonts w:ascii="Times New Roman" w:hAnsi="Times New Roman" w:cs="Times New Roman"/>
                <w:sz w:val="24"/>
                <w:szCs w:val="24"/>
                <w:lang w:val="ro-RO"/>
              </w:rPr>
              <w:t>3 600 EUR prejudiciu moral.</w:t>
            </w:r>
          </w:p>
          <w:p w:rsidR="001F0ACB" w:rsidRPr="006F44C3" w:rsidRDefault="001F0ACB" w:rsidP="00143633">
            <w:pPr>
              <w:rPr>
                <w:rFonts w:ascii="Times New Roman" w:hAnsi="Times New Roman" w:cs="Times New Roman"/>
                <w:sz w:val="24"/>
                <w:szCs w:val="24"/>
                <w:lang w:val="ro-RO"/>
              </w:rPr>
            </w:pPr>
          </w:p>
        </w:tc>
      </w:tr>
      <w:tr w:rsidR="001F0ACB" w:rsidRPr="006F44C3" w:rsidTr="00143633">
        <w:trPr>
          <w:trHeight w:val="766"/>
        </w:trPr>
        <w:tc>
          <w:tcPr>
            <w:tcW w:w="933" w:type="dxa"/>
          </w:tcPr>
          <w:p w:rsidR="001F0ACB" w:rsidRPr="006F44C3"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756" w:type="dxa"/>
          </w:tcPr>
          <w:p w:rsidR="000D26D8" w:rsidRPr="001F0ACB" w:rsidRDefault="000D26D8" w:rsidP="000D26D8">
            <w:pPr>
              <w:rPr>
                <w:rFonts w:ascii="Times New Roman" w:hAnsi="Times New Roman" w:cs="Times New Roman"/>
                <w:sz w:val="24"/>
                <w:szCs w:val="24"/>
                <w:lang w:val="ro-RO"/>
              </w:rPr>
            </w:pPr>
            <w:r>
              <w:rPr>
                <w:rFonts w:ascii="Times New Roman" w:hAnsi="Times New Roman" w:cs="Times New Roman"/>
                <w:sz w:val="24"/>
                <w:szCs w:val="24"/>
                <w:lang w:val="ro-RO"/>
              </w:rPr>
              <w:t>Scripnic v. Moldova</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0D26D8"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5 §1</w:t>
            </w:r>
          </w:p>
        </w:tc>
        <w:tc>
          <w:tcPr>
            <w:tcW w:w="2268" w:type="dxa"/>
          </w:tcPr>
          <w:p w:rsidR="001F0ACB" w:rsidRPr="001F0ACB" w:rsidRDefault="000D26D8"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privare ilegală de libertate, lipsa temeiului legal, arbitraritate</w:t>
            </w: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Reclamantul a fost reținut în baza unei decizii insuficient motivate, iar instanțele nu au verificat în mod real necesitatea detenției. Lipsa unei baze legale clare a transformat măsura într-o privare de libertate arbitrară.</w:t>
            </w:r>
          </w:p>
          <w:p w:rsidR="001F0ACB" w:rsidRPr="001F0ACB" w:rsidRDefault="001F0ACB" w:rsidP="001F0ACB">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Decizia</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Încălcare art. 5 §1.</w:t>
            </w:r>
          </w:p>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Soluția</w:t>
            </w:r>
          </w:p>
          <w:p w:rsidR="001F0ACB" w:rsidRDefault="000D26D8" w:rsidP="000D26D8">
            <w:pPr>
              <w:rPr>
                <w:rFonts w:ascii="Times New Roman" w:hAnsi="Times New Roman" w:cs="Times New Roman"/>
                <w:sz w:val="24"/>
                <w:szCs w:val="24"/>
                <w:lang w:val="ro-RO"/>
              </w:rPr>
            </w:pP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7 000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1756" w:type="dxa"/>
          </w:tcPr>
          <w:p w:rsidR="001F0ACB" w:rsidRPr="001F0ACB" w:rsidRDefault="000D26D8" w:rsidP="00143633">
            <w:pPr>
              <w:rPr>
                <w:rFonts w:ascii="Times New Roman" w:hAnsi="Times New Roman" w:cs="Times New Roman"/>
                <w:sz w:val="24"/>
                <w:szCs w:val="24"/>
                <w:lang w:val="ro-RO"/>
              </w:rPr>
            </w:pPr>
            <w:r w:rsidRPr="001F0ACB">
              <w:rPr>
                <w:rFonts w:ascii="Times New Roman" w:hAnsi="Times New Roman" w:cs="Times New Roman"/>
                <w:sz w:val="24"/>
                <w:szCs w:val="24"/>
                <w:lang w:val="ro-RO"/>
              </w:rPr>
              <w:t>Pochinok v. Moldova</w:t>
            </w:r>
          </w:p>
        </w:tc>
        <w:tc>
          <w:tcPr>
            <w:tcW w:w="1842" w:type="dxa"/>
          </w:tcPr>
          <w:p w:rsidR="001F0ACB" w:rsidRPr="001F0ACB" w:rsidRDefault="000D26D8"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8</w:t>
            </w:r>
          </w:p>
        </w:tc>
        <w:tc>
          <w:tcPr>
            <w:tcW w:w="2268" w:type="dxa"/>
          </w:tcPr>
          <w:p w:rsidR="001F0ACB" w:rsidRPr="001F0ACB" w:rsidRDefault="000D26D8"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interceptări telefonice, lipsa garanțiilor, ingerință nejustificată</w:t>
            </w: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Interceptările reclamantului au fost autorizate pe baza unui mandat vag, fără limitarea duratei și fără control judiciar efectiv. Autoritățile au încălcat obligația de a proteja viața privată.</w:t>
            </w:r>
          </w:p>
          <w:p w:rsidR="001F0ACB" w:rsidRPr="001F0ACB" w:rsidRDefault="001F0ACB" w:rsidP="001F0ACB">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Decizia</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Încălcare art. 8.</w:t>
            </w:r>
          </w:p>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Soluția</w:t>
            </w:r>
          </w:p>
          <w:p w:rsidR="001F0ACB" w:rsidRDefault="000D26D8" w:rsidP="000D26D8">
            <w:pPr>
              <w:rPr>
                <w:rFonts w:ascii="Times New Roman" w:hAnsi="Times New Roman" w:cs="Times New Roman"/>
                <w:sz w:val="24"/>
                <w:szCs w:val="24"/>
                <w:lang w:val="ro-RO"/>
              </w:rPr>
            </w:pP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6 500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1756" w:type="dxa"/>
          </w:tcPr>
          <w:p w:rsidR="001F0ACB" w:rsidRPr="001F0ACB" w:rsidRDefault="000D26D8" w:rsidP="00143633">
            <w:pPr>
              <w:rPr>
                <w:rFonts w:ascii="Times New Roman" w:hAnsi="Times New Roman" w:cs="Times New Roman"/>
                <w:sz w:val="24"/>
                <w:szCs w:val="24"/>
                <w:lang w:val="ro-RO"/>
              </w:rPr>
            </w:pPr>
            <w:r w:rsidRPr="001F0ACB">
              <w:rPr>
                <w:rFonts w:ascii="Times New Roman" w:hAnsi="Times New Roman" w:cs="Times New Roman"/>
                <w:sz w:val="24"/>
                <w:szCs w:val="24"/>
                <w:lang w:val="ro-RO"/>
              </w:rPr>
              <w:t>Rotaru v. Moldova</w:t>
            </w:r>
          </w:p>
        </w:tc>
        <w:tc>
          <w:tcPr>
            <w:tcW w:w="1842" w:type="dxa"/>
          </w:tcPr>
          <w:p w:rsidR="001F0ACB" w:rsidRPr="001F0ACB" w:rsidRDefault="000D26D8"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3</w:t>
            </w:r>
          </w:p>
        </w:tc>
        <w:tc>
          <w:tcPr>
            <w:tcW w:w="2268" w:type="dxa"/>
          </w:tcPr>
          <w:p w:rsidR="001F0ACB" w:rsidRPr="001F0ACB" w:rsidRDefault="000D26D8"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condiții proaste în detenție, tratament degradant</w:t>
            </w: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Reclamantul a fost deținut în spații improprii, cu igrasie, lipsă de lumină naturală, supraaglomerare și igienă minimă. Autoritățile nu au răspuns plângerilor și nu au demonstrat măsuri de remediere.</w:t>
            </w:r>
          </w:p>
          <w:p w:rsidR="001F0ACB" w:rsidRPr="001F0ACB" w:rsidRDefault="001F0ACB" w:rsidP="001F0ACB">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Decizia</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Încălcare art. 3.</w:t>
            </w:r>
          </w:p>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Soluția</w:t>
            </w:r>
          </w:p>
          <w:p w:rsidR="001F0ACB" w:rsidRDefault="000D26D8" w:rsidP="000D26D8">
            <w:pPr>
              <w:rPr>
                <w:rFonts w:ascii="Times New Roman" w:hAnsi="Times New Roman" w:cs="Times New Roman"/>
                <w:sz w:val="24"/>
                <w:szCs w:val="24"/>
                <w:lang w:val="ro-RO"/>
              </w:rPr>
            </w:pPr>
            <w:r>
              <w:rPr>
                <w:rFonts w:ascii="Times New Roman" w:hAnsi="Times New Roman" w:cs="Times New Roman"/>
                <w:sz w:val="24"/>
                <w:szCs w:val="24"/>
                <w:lang w:val="ro-RO"/>
              </w:rPr>
              <w:t xml:space="preserve">Prejudiciu de </w:t>
            </w:r>
            <w:r w:rsidRPr="001F0ACB">
              <w:rPr>
                <w:rFonts w:ascii="Times New Roman" w:hAnsi="Times New Roman" w:cs="Times New Roman"/>
                <w:sz w:val="24"/>
                <w:szCs w:val="24"/>
                <w:lang w:val="ro-RO"/>
              </w:rPr>
              <w:t>9 000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1756"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 xml:space="preserve">Miron v. Moldova </w:t>
            </w:r>
          </w:p>
          <w:p w:rsidR="001F0ACB" w:rsidRPr="001F0ACB" w:rsidRDefault="001F0ACB" w:rsidP="00143633">
            <w:pPr>
              <w:rPr>
                <w:rFonts w:ascii="Times New Roman" w:hAnsi="Times New Roman" w:cs="Times New Roman"/>
                <w:sz w:val="24"/>
                <w:szCs w:val="24"/>
                <w:lang w:val="ro-RO"/>
              </w:rPr>
            </w:pPr>
          </w:p>
        </w:tc>
        <w:tc>
          <w:tcPr>
            <w:tcW w:w="1842"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Articol: art. 10</w:t>
            </w:r>
          </w:p>
          <w:p w:rsidR="001F0ACB" w:rsidRPr="001F0ACB" w:rsidRDefault="001F0ACB" w:rsidP="001F0ACB">
            <w:pPr>
              <w:rPr>
                <w:rFonts w:ascii="Times New Roman" w:hAnsi="Times New Roman" w:cs="Times New Roman"/>
                <w:sz w:val="24"/>
                <w:szCs w:val="24"/>
                <w:lang w:val="ro-RO"/>
              </w:rPr>
            </w:pPr>
          </w:p>
        </w:tc>
        <w:tc>
          <w:tcPr>
            <w:tcW w:w="2268" w:type="dxa"/>
          </w:tcPr>
          <w:p w:rsidR="001F0ACB" w:rsidRPr="001F0ACB" w:rsidRDefault="000D26D8"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libertatea de exprimare, jurnalism, ingerință disproporționată</w:t>
            </w: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 xml:space="preserve">Reclamantul, jurnalist, a fost sancționat pentru publicarea unor materiale despre corupție. Curtea a concluzionat că sancțiunea era disproporționată, </w:t>
            </w:r>
            <w:r w:rsidRPr="001F0ACB">
              <w:rPr>
                <w:rFonts w:ascii="Times New Roman" w:hAnsi="Times New Roman" w:cs="Times New Roman"/>
                <w:sz w:val="24"/>
                <w:szCs w:val="24"/>
                <w:lang w:val="ro-RO"/>
              </w:rPr>
              <w:lastRenderedPageBreak/>
              <w:t>autoritățile neavând un interes public suficient pentru a restricționa libertatea de exprimare.</w:t>
            </w:r>
          </w:p>
          <w:p w:rsidR="001F0ACB" w:rsidRPr="001F0ACB" w:rsidRDefault="001F0ACB" w:rsidP="001F0ACB">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lastRenderedPageBreak/>
              <w:t>Decizia</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Încălcare art. 10.</w:t>
            </w:r>
          </w:p>
          <w:p w:rsidR="000D26D8" w:rsidRPr="001F0ACB" w:rsidRDefault="000D26D8" w:rsidP="000D26D8">
            <w:pPr>
              <w:rPr>
                <w:rFonts w:ascii="Times New Roman" w:hAnsi="Times New Roman" w:cs="Times New Roman"/>
                <w:sz w:val="24"/>
                <w:szCs w:val="24"/>
                <w:lang w:val="ro-RO"/>
              </w:rPr>
            </w:pPr>
            <w:r>
              <w:rPr>
                <w:rFonts w:ascii="Times New Roman" w:hAnsi="Times New Roman" w:cs="Times New Roman"/>
                <w:sz w:val="24"/>
                <w:szCs w:val="24"/>
                <w:lang w:val="ro-RO"/>
              </w:rPr>
              <w:t>Soluția</w:t>
            </w:r>
          </w:p>
          <w:p w:rsidR="001F0ACB" w:rsidRDefault="000D26D8" w:rsidP="000D26D8">
            <w:pPr>
              <w:rPr>
                <w:rFonts w:ascii="Times New Roman" w:hAnsi="Times New Roman" w:cs="Times New Roman"/>
                <w:sz w:val="24"/>
                <w:szCs w:val="24"/>
                <w:lang w:val="ro-RO"/>
              </w:rPr>
            </w:pP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5 500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756"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Verein KlimaSeniorinnen Sch</w:t>
            </w:r>
            <w:r>
              <w:rPr>
                <w:rFonts w:ascii="Times New Roman" w:hAnsi="Times New Roman" w:cs="Times New Roman"/>
                <w:sz w:val="24"/>
                <w:szCs w:val="24"/>
                <w:lang w:val="ro-RO"/>
              </w:rPr>
              <w:t xml:space="preserve">weiz and Others v. Switzerland </w:t>
            </w:r>
          </w:p>
          <w:p w:rsidR="001F0ACB" w:rsidRPr="001F0ACB" w:rsidRDefault="001F0ACB" w:rsidP="00143633">
            <w:pPr>
              <w:rPr>
                <w:rFonts w:ascii="Times New Roman" w:hAnsi="Times New Roman" w:cs="Times New Roman"/>
                <w:sz w:val="24"/>
                <w:szCs w:val="24"/>
                <w:lang w:val="ro-RO"/>
              </w:rPr>
            </w:pPr>
          </w:p>
        </w:tc>
        <w:tc>
          <w:tcPr>
            <w:tcW w:w="1842"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8 – Dreptul la respectarea vieții private și de familie</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6 § 1 – Dreptul la un recurs efectiv</w:t>
            </w:r>
          </w:p>
          <w:p w:rsidR="001F0ACB" w:rsidRPr="001F0ACB" w:rsidRDefault="001F0ACB" w:rsidP="001F0ACB">
            <w:pPr>
              <w:rPr>
                <w:rFonts w:ascii="Times New Roman" w:hAnsi="Times New Roman" w:cs="Times New Roman"/>
                <w:sz w:val="24"/>
                <w:szCs w:val="24"/>
                <w:lang w:val="ro-RO"/>
              </w:rPr>
            </w:pPr>
          </w:p>
        </w:tc>
        <w:tc>
          <w:tcPr>
            <w:tcW w:w="2268"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viață privată, protecția mediului, risc iminent, acces la justiție, obligații pozitive</w:t>
            </w:r>
          </w:p>
          <w:p w:rsidR="001F0ACB" w:rsidRPr="001F0ACB" w:rsidRDefault="001F0ACB" w:rsidP="001F0ACB">
            <w:pPr>
              <w:rPr>
                <w:rFonts w:ascii="Times New Roman" w:hAnsi="Times New Roman" w:cs="Times New Roman"/>
                <w:sz w:val="24"/>
                <w:szCs w:val="24"/>
                <w:lang w:val="ro-RO"/>
              </w:rPr>
            </w:pP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Curtea a constatat că inacțiunea statului față de schimbările climatice constituie un risc grav și iminent pentru viața și sănătatea reclamantelor, grupuri vulnerabile de femei vârstnice. Lipsa unui cadru legislativ eficient și a măsurilor concrete reprezintă o încălcare a obligațiilor pozitive ale statului. Instanțele interne nu au permis acces real la justiție prin refuzul recunoașterii calității de „victimă”.</w:t>
            </w:r>
          </w:p>
          <w:p w:rsidR="001F0ACB" w:rsidRPr="001F0ACB" w:rsidRDefault="001F0ACB" w:rsidP="000D26D8">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Decizia instanței:</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Încălcare a art. 8 și art. 6 § 1</w:t>
            </w:r>
          </w:p>
          <w:p w:rsidR="001F0ACB" w:rsidRDefault="001F0ACB" w:rsidP="001F0ACB">
            <w:pPr>
              <w:rPr>
                <w:rFonts w:ascii="Times New Roman" w:hAnsi="Times New Roman" w:cs="Times New Roman"/>
                <w:sz w:val="24"/>
                <w:szCs w:val="24"/>
                <w:lang w:val="ro-RO"/>
              </w:rPr>
            </w:pP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1756"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Ukraine and the Netherlands v. Russia (Grand Chamber, 9 iulie 2025)</w:t>
            </w:r>
          </w:p>
          <w:p w:rsidR="001F0ACB" w:rsidRPr="001F0ACB" w:rsidRDefault="001F0ACB" w:rsidP="00143633">
            <w:pPr>
              <w:rPr>
                <w:rFonts w:ascii="Times New Roman" w:hAnsi="Times New Roman" w:cs="Times New Roman"/>
                <w:sz w:val="24"/>
                <w:szCs w:val="24"/>
                <w:lang w:val="ro-RO"/>
              </w:rPr>
            </w:pPr>
          </w:p>
        </w:tc>
        <w:tc>
          <w:tcPr>
            <w:tcW w:w="1842"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2 – Dreptul la viață</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3 – Interzicerea torturii și tratamentelor degradante</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13 – Dreptul la un recurs efectiv</w:t>
            </w:r>
          </w:p>
          <w:p w:rsidR="001F0ACB" w:rsidRPr="001F0ACB" w:rsidRDefault="001F0ACB" w:rsidP="001F0ACB">
            <w:pPr>
              <w:rPr>
                <w:rFonts w:ascii="Times New Roman" w:hAnsi="Times New Roman" w:cs="Times New Roman"/>
                <w:sz w:val="24"/>
                <w:szCs w:val="24"/>
                <w:lang w:val="ro-RO"/>
              </w:rPr>
            </w:pPr>
          </w:p>
        </w:tc>
        <w:tc>
          <w:tcPr>
            <w:tcW w:w="2268"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execuții sumare, tortură, detenții arbitrare, dreptul la viață, investigare insuficientă</w:t>
            </w:r>
          </w:p>
          <w:p w:rsidR="001F0ACB" w:rsidRPr="001F0ACB" w:rsidRDefault="001F0ACB" w:rsidP="001F0ACB">
            <w:pPr>
              <w:rPr>
                <w:rFonts w:ascii="Times New Roman" w:hAnsi="Times New Roman" w:cs="Times New Roman"/>
                <w:sz w:val="24"/>
                <w:szCs w:val="24"/>
                <w:lang w:val="ro-RO"/>
              </w:rPr>
            </w:pP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Curtea a constatat un model sistemic de încălcări grave comise de autoritățile ruse, incluzând execuții sumare, tortură, detenții arbitrare, violență sexuală, deportări și distrugeri de proprietăți. Lipsa mecanismelor eficiente de investigare și sancționare a celor responsabili a reprezentat o încălcare a obligațiilor statului.</w:t>
            </w:r>
          </w:p>
          <w:p w:rsidR="001F0ACB" w:rsidRPr="001F0ACB" w:rsidRDefault="001F0ACB" w:rsidP="001F0ACB">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Decizia instanței:</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Încălcare sistemică a art. 2, art. 3 și art. 13</w:t>
            </w:r>
          </w:p>
          <w:p w:rsidR="001F0ACB" w:rsidRDefault="000D26D8" w:rsidP="000D26D8">
            <w:pPr>
              <w:rPr>
                <w:rFonts w:ascii="Times New Roman" w:hAnsi="Times New Roman" w:cs="Times New Roman"/>
                <w:sz w:val="24"/>
                <w:szCs w:val="24"/>
                <w:lang w:val="ro-RO"/>
              </w:rPr>
            </w:pPr>
            <w:r w:rsidRPr="000D26D8">
              <w:rPr>
                <w:rFonts w:ascii="Times New Roman" w:hAnsi="Times New Roman" w:cs="Times New Roman"/>
                <w:i/>
                <w:sz w:val="24"/>
                <w:szCs w:val="24"/>
                <w:lang w:val="ro-RO"/>
              </w:rPr>
              <w:t>Soluția</w:t>
            </w:r>
            <w:r>
              <w:rPr>
                <w:rFonts w:ascii="Times New Roman" w:hAnsi="Times New Roman" w:cs="Times New Roman"/>
                <w:sz w:val="24"/>
                <w:szCs w:val="24"/>
                <w:lang w:val="ro-RO"/>
              </w:rPr>
              <w:t xml:space="preserve">: </w:t>
            </w:r>
            <w:r w:rsidRPr="001F0ACB">
              <w:rPr>
                <w:rFonts w:ascii="Times New Roman" w:hAnsi="Times New Roman" w:cs="Times New Roman"/>
                <w:sz w:val="24"/>
                <w:szCs w:val="24"/>
                <w:lang w:val="ro-RO"/>
              </w:rPr>
              <w:t>12 000 EUR pentru prejudiciu moral colectiv și individual</w:t>
            </w:r>
          </w:p>
        </w:tc>
      </w:tr>
      <w:tr w:rsidR="001F0ACB" w:rsidRPr="000D26D8"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1756"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Kovačević v. Bosnia and Herzegovina (GC, 25 iunie 2025)</w:t>
            </w:r>
          </w:p>
          <w:p w:rsidR="001F0ACB" w:rsidRPr="001F0ACB" w:rsidRDefault="001F0ACB" w:rsidP="00143633">
            <w:pPr>
              <w:rPr>
                <w:rFonts w:ascii="Times New Roman" w:hAnsi="Times New Roman" w:cs="Times New Roman"/>
                <w:sz w:val="24"/>
                <w:szCs w:val="24"/>
                <w:lang w:val="ro-RO"/>
              </w:rPr>
            </w:pPr>
          </w:p>
        </w:tc>
        <w:tc>
          <w:tcPr>
            <w:tcW w:w="1842"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3 – Interzicerea tratamentelor degradante</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14 – Interzicerea discriminării</w:t>
            </w:r>
          </w:p>
          <w:p w:rsidR="001F0ACB" w:rsidRPr="001F0ACB" w:rsidRDefault="001F0ACB" w:rsidP="001F0ACB">
            <w:pPr>
              <w:rPr>
                <w:rFonts w:ascii="Times New Roman" w:hAnsi="Times New Roman" w:cs="Times New Roman"/>
                <w:sz w:val="24"/>
                <w:szCs w:val="24"/>
                <w:lang w:val="ro-RO"/>
              </w:rPr>
            </w:pPr>
          </w:p>
        </w:tc>
        <w:tc>
          <w:tcPr>
            <w:tcW w:w="2268"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drept de vot, discriminare, reprezentare politică, prejudiciu individual, inadmisibilitate</w:t>
            </w:r>
          </w:p>
          <w:p w:rsidR="001F0ACB" w:rsidRPr="001F0ACB" w:rsidRDefault="001F0ACB" w:rsidP="001F0ACB">
            <w:pPr>
              <w:rPr>
                <w:rFonts w:ascii="Times New Roman" w:hAnsi="Times New Roman" w:cs="Times New Roman"/>
                <w:sz w:val="24"/>
                <w:szCs w:val="24"/>
                <w:lang w:val="ro-RO"/>
              </w:rPr>
            </w:pP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Reclamanții au contestat sistemul electoral și subreprezentarea anumitor grupuri. Curtea a apreciat că plângerea nu aducea un prejudiciu individual direct, ci urmărea schimbarea generală a sistemului. Lipsa unui efect individual protejat a determinat declararea inadmisibilității plângerii.</w:t>
            </w:r>
          </w:p>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Decizia instanței:</w:t>
            </w:r>
          </w:p>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Plângerea declarată inadmisibilă</w:t>
            </w:r>
          </w:p>
          <w:p w:rsidR="001F0ACB" w:rsidRPr="001F0ACB" w:rsidRDefault="001F0ACB" w:rsidP="001F0ACB">
            <w:pPr>
              <w:rPr>
                <w:rFonts w:ascii="Times New Roman" w:hAnsi="Times New Roman" w:cs="Times New Roman"/>
                <w:sz w:val="24"/>
                <w:szCs w:val="24"/>
                <w:lang w:val="ro-RO"/>
              </w:rPr>
            </w:pPr>
          </w:p>
        </w:tc>
        <w:tc>
          <w:tcPr>
            <w:tcW w:w="3293" w:type="dxa"/>
          </w:tcPr>
          <w:p w:rsidR="001F0ACB" w:rsidRDefault="000D26D8" w:rsidP="001F0ACB">
            <w:pPr>
              <w:rPr>
                <w:rFonts w:ascii="Times New Roman" w:hAnsi="Times New Roman" w:cs="Times New Roman"/>
                <w:sz w:val="24"/>
                <w:szCs w:val="24"/>
                <w:lang w:val="ro-RO"/>
              </w:rPr>
            </w:pPr>
            <w:r>
              <w:rPr>
                <w:rFonts w:ascii="Times New Roman" w:hAnsi="Times New Roman" w:cs="Times New Roman"/>
                <w:sz w:val="24"/>
                <w:szCs w:val="24"/>
                <w:lang w:val="ro-RO"/>
              </w:rPr>
              <w:t>Decizia n</w:t>
            </w:r>
            <w:r w:rsidRPr="001F0ACB">
              <w:rPr>
                <w:rFonts w:ascii="Times New Roman" w:hAnsi="Times New Roman" w:cs="Times New Roman"/>
                <w:sz w:val="24"/>
                <w:szCs w:val="24"/>
                <w:lang w:val="ro-RO"/>
              </w:rPr>
              <w:t>u a fost acordată, fiind plângere inadmisibilă</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9.</w:t>
            </w:r>
          </w:p>
        </w:tc>
        <w:tc>
          <w:tcPr>
            <w:tcW w:w="1756"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 xml:space="preserve">Danileţ v. Romania </w:t>
            </w:r>
          </w:p>
          <w:p w:rsidR="001F0ACB" w:rsidRPr="001F0ACB" w:rsidRDefault="001F0ACB" w:rsidP="00143633">
            <w:pPr>
              <w:rPr>
                <w:rFonts w:ascii="Times New Roman" w:hAnsi="Times New Roman" w:cs="Times New Roman"/>
                <w:sz w:val="24"/>
                <w:szCs w:val="24"/>
                <w:lang w:val="ro-RO"/>
              </w:rPr>
            </w:pPr>
          </w:p>
        </w:tc>
        <w:tc>
          <w:tcPr>
            <w:tcW w:w="1842"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10 – Libertatea de exprimare</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6 § 1 – Dreptul la un proces echitabil</w:t>
            </w:r>
          </w:p>
          <w:p w:rsidR="001F0ACB" w:rsidRPr="001F0ACB" w:rsidRDefault="001F0ACB" w:rsidP="001F0ACB">
            <w:pPr>
              <w:rPr>
                <w:rFonts w:ascii="Times New Roman" w:hAnsi="Times New Roman" w:cs="Times New Roman"/>
                <w:sz w:val="24"/>
                <w:szCs w:val="24"/>
                <w:lang w:val="ro-RO"/>
              </w:rPr>
            </w:pPr>
          </w:p>
        </w:tc>
        <w:tc>
          <w:tcPr>
            <w:tcW w:w="2268"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libertatea de exprimare, independența judecătorilor, proporționalitate, ingerință statală</w:t>
            </w:r>
          </w:p>
          <w:p w:rsidR="001F0ACB" w:rsidRPr="001F0ACB" w:rsidRDefault="001F0ACB" w:rsidP="001F0ACB">
            <w:pPr>
              <w:rPr>
                <w:rFonts w:ascii="Times New Roman" w:hAnsi="Times New Roman" w:cs="Times New Roman"/>
                <w:sz w:val="24"/>
                <w:szCs w:val="24"/>
                <w:lang w:val="ro-RO"/>
              </w:rPr>
            </w:pP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Cazul privește disciplinarea unui judecător pentru postări pe rețele sociale. Curtea a analizat proporționalitatea sancțiunii și impactul acesteia asupra independenței judecătorului și libertății de exprimare. Sancțiunea a fost considerată o posibilă ingerință disproporționată în drepturile reclamantului.</w:t>
            </w:r>
          </w:p>
          <w:p w:rsidR="001F0ACB" w:rsidRPr="001F0ACB" w:rsidRDefault="001F0ACB" w:rsidP="000D26D8">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Decizia instanței:</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Decizia finală GC încă nu este publică</w:t>
            </w:r>
          </w:p>
          <w:p w:rsidR="001F0ACB" w:rsidRDefault="001F0ACB" w:rsidP="001F0ACB">
            <w:pPr>
              <w:rPr>
                <w:rFonts w:ascii="Times New Roman" w:hAnsi="Times New Roman" w:cs="Times New Roman"/>
                <w:sz w:val="24"/>
                <w:szCs w:val="24"/>
                <w:lang w:val="ro-RO"/>
              </w:rPr>
            </w:pP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1756"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 xml:space="preserve">Mansouri v. Italy </w:t>
            </w:r>
          </w:p>
          <w:p w:rsidR="001F0ACB" w:rsidRPr="001F0ACB" w:rsidRDefault="001F0ACB" w:rsidP="00143633">
            <w:pPr>
              <w:rPr>
                <w:rFonts w:ascii="Times New Roman" w:hAnsi="Times New Roman" w:cs="Times New Roman"/>
                <w:sz w:val="24"/>
                <w:szCs w:val="24"/>
                <w:lang w:val="ro-RO"/>
              </w:rPr>
            </w:pPr>
          </w:p>
        </w:tc>
        <w:tc>
          <w:tcPr>
            <w:tcW w:w="1842"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6 § 1 – Dreptul la un proces echitabil</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Art. 8 – Dreptul la viață privată</w:t>
            </w:r>
          </w:p>
          <w:p w:rsidR="001F0ACB" w:rsidRPr="001F0ACB" w:rsidRDefault="001F0ACB" w:rsidP="001F0ACB">
            <w:pPr>
              <w:rPr>
                <w:rFonts w:ascii="Times New Roman" w:hAnsi="Times New Roman" w:cs="Times New Roman"/>
                <w:sz w:val="24"/>
                <w:szCs w:val="24"/>
                <w:lang w:val="ro-RO"/>
              </w:rPr>
            </w:pPr>
          </w:p>
        </w:tc>
        <w:tc>
          <w:tcPr>
            <w:tcW w:w="2268" w:type="dxa"/>
          </w:tcPr>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proces echitabil, viață privată, garanții procedurale, protecție juridică</w:t>
            </w:r>
          </w:p>
          <w:p w:rsidR="001F0ACB" w:rsidRPr="001F0ACB" w:rsidRDefault="001F0ACB" w:rsidP="001F0ACB">
            <w:pPr>
              <w:rPr>
                <w:rFonts w:ascii="Times New Roman" w:hAnsi="Times New Roman" w:cs="Times New Roman"/>
                <w:sz w:val="24"/>
                <w:szCs w:val="24"/>
                <w:lang w:val="ro-RO"/>
              </w:rPr>
            </w:pPr>
          </w:p>
        </w:tc>
        <w:tc>
          <w:tcPr>
            <w:tcW w:w="5453" w:type="dxa"/>
          </w:tcPr>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Cazul privește protecția persoanelor implicate în proceduri penale complexe. Curtea analizează dacă statul a oferit garanțiile necesare pentru respectarea dreptului la un proces echitabil și viață privată.</w:t>
            </w:r>
          </w:p>
          <w:p w:rsidR="001F0ACB" w:rsidRPr="001F0ACB" w:rsidRDefault="001F0ACB" w:rsidP="000D26D8">
            <w:pPr>
              <w:rPr>
                <w:rFonts w:ascii="Times New Roman" w:hAnsi="Times New Roman" w:cs="Times New Roman"/>
                <w:sz w:val="24"/>
                <w:szCs w:val="24"/>
                <w:lang w:val="ro-RO"/>
              </w:rPr>
            </w:pPr>
          </w:p>
        </w:tc>
        <w:tc>
          <w:tcPr>
            <w:tcW w:w="3293" w:type="dxa"/>
          </w:tcPr>
          <w:p w:rsidR="000D26D8" w:rsidRPr="000D26D8" w:rsidRDefault="000D26D8" w:rsidP="000D26D8">
            <w:pPr>
              <w:rPr>
                <w:rFonts w:ascii="Times New Roman" w:hAnsi="Times New Roman" w:cs="Times New Roman"/>
                <w:i/>
                <w:sz w:val="24"/>
                <w:szCs w:val="24"/>
                <w:lang w:val="ro-RO"/>
              </w:rPr>
            </w:pPr>
            <w:r w:rsidRPr="000D26D8">
              <w:rPr>
                <w:rFonts w:ascii="Times New Roman" w:hAnsi="Times New Roman" w:cs="Times New Roman"/>
                <w:i/>
                <w:sz w:val="24"/>
                <w:szCs w:val="24"/>
                <w:lang w:val="ro-RO"/>
              </w:rPr>
              <w:t>Decizia instanței:</w:t>
            </w:r>
          </w:p>
          <w:p w:rsidR="000D26D8" w:rsidRPr="001F0ACB" w:rsidRDefault="000D26D8" w:rsidP="000D26D8">
            <w:pPr>
              <w:rPr>
                <w:rFonts w:ascii="Times New Roman" w:hAnsi="Times New Roman" w:cs="Times New Roman"/>
                <w:sz w:val="24"/>
                <w:szCs w:val="24"/>
                <w:lang w:val="ro-RO"/>
              </w:rPr>
            </w:pPr>
            <w:r w:rsidRPr="001F0ACB">
              <w:rPr>
                <w:rFonts w:ascii="Times New Roman" w:hAnsi="Times New Roman" w:cs="Times New Roman"/>
                <w:sz w:val="24"/>
                <w:szCs w:val="24"/>
                <w:lang w:val="ro-RO"/>
              </w:rPr>
              <w:t>Cazul este în curs de judecată GC</w:t>
            </w:r>
          </w:p>
          <w:p w:rsidR="001F0ACB" w:rsidRDefault="001F0ACB" w:rsidP="001F0ACB">
            <w:pPr>
              <w:rPr>
                <w:rFonts w:ascii="Times New Roman" w:hAnsi="Times New Roman" w:cs="Times New Roman"/>
                <w:sz w:val="24"/>
                <w:szCs w:val="24"/>
                <w:lang w:val="ro-RO"/>
              </w:rPr>
            </w:pP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Baka v. Hungary (Cameră, 2014)</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6 §1, art. 10</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independența justiției, demitere anticipată, sancționarea criticii</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xml:space="preserve"> Președintele Curții Supreme a fost destituit înainte de finalul mandatului după declarații critice privind reformele guvernului.</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Dacă încetarea forțată a funcției încalcă accesul la instanță și libertatea de exprimare a unui magistrat.</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xml:space="preserve"> Curtea a observat că reclamantul nu avea nicio cale reală de contestare, iar demiterea a fost legată de opiniile sale publice. Aceasta a limitat atât accesul la justiție, cât și exprimarea liberă în dezbateri publice de interes major.</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Încălcarea art. 6 §1 și art. 10.</w:t>
            </w:r>
          </w:p>
          <w:p w:rsid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Soluție</w:t>
            </w:r>
            <w:r w:rsidRPr="001F0ACB">
              <w:rPr>
                <w:rFonts w:ascii="Times New Roman" w:hAnsi="Times New Roman" w:cs="Times New Roman"/>
                <w:sz w:val="24"/>
                <w:szCs w:val="24"/>
                <w:lang w:val="ro-RO"/>
              </w:rPr>
              <w:t>: 70 000 EUR prejudiciu moral</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Ilias and Ahmed v. Hungary (Cameră, 2017)</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3, art. 5 §1</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zona de tranzit, detenție arbitrară, solicitanți de azil</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Doi solicitanți de azil sirieni au fost ținuți timp de săptămâni într-o zonă de tranzit închisă la frontiera Serbiei.</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Dacă menținerea lor în zonă constituie detenție nelegală și expunere la tratament degradant.</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lastRenderedPageBreak/>
              <w:t>Raționamentul Curții:</w:t>
            </w:r>
            <w:r w:rsidRPr="001F0ACB">
              <w:rPr>
                <w:rFonts w:ascii="Times New Roman" w:hAnsi="Times New Roman" w:cs="Times New Roman"/>
                <w:sz w:val="24"/>
                <w:szCs w:val="24"/>
                <w:lang w:val="ro-RO"/>
              </w:rPr>
              <w:t xml:space="preserve"> Măsura a echivalat cu detenție, fără bază legală clară, iar condițiile restrictive nu respectau standardele pentru persoane vulnerabile.</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lastRenderedPageBreak/>
              <w:t>Decizie</w:t>
            </w:r>
            <w:r w:rsidRPr="001F0ACB">
              <w:rPr>
                <w:rFonts w:ascii="Times New Roman" w:hAnsi="Times New Roman" w:cs="Times New Roman"/>
                <w:sz w:val="24"/>
                <w:szCs w:val="24"/>
                <w:lang w:val="ro-RO"/>
              </w:rPr>
              <w:t>: Încălcarea art. 5 §1; nicio încălcare art. 3.</w:t>
            </w:r>
          </w:p>
          <w:p w:rsid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Soluție</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despăgubiri de</w:t>
            </w:r>
            <w:r w:rsidRPr="001F0ACB">
              <w:rPr>
                <w:rFonts w:ascii="Times New Roman" w:hAnsi="Times New Roman" w:cs="Times New Roman"/>
                <w:sz w:val="24"/>
                <w:szCs w:val="24"/>
                <w:lang w:val="ro-RO"/>
              </w:rPr>
              <w:t>10 000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Molla Sali v. Greece (Cameră, 2017)</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14 + art. 1 Protocolul nr. 1</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discriminare, aplicare obligatorie sharia, drepturi patrimoniale</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xml:space="preserve"> Văduva unui cetățean din minoritatea musulmană a fost obligată să se supună legii religioase pentru succesiune.</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Dacă aplicarea automată a sharia constituie discriminare pe criteriu religios.</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Statul a tratat reclamanta diferit doar pe baza apartenenței etnico-religioase, fără justificare obiectivă.</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Încălcarea art. 14 combinat cu art. 1 Protocolul 1.</w:t>
            </w:r>
          </w:p>
          <w:p w:rsid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Soluție</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15 000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Mockienė v. Lithuania (Cameră, 2017)</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10</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libertatea presei, critică publică, sancțiune disproporționată</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O jurnalistă a fost sancționată pentru articole critice privind activitatea poliției.</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xml:space="preserve"> Dacă sancțiunea impusă presei pentru critici instituționale este compatibilă cu art. 10.</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xml:space="preserve"> Informațiile erau de interes public, iar autoritățile au intervenit excesiv, descurajând dezbaterea democratică.</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Încălcarea art. 10.</w:t>
            </w:r>
          </w:p>
          <w:p w:rsidR="001F0ACB" w:rsidRDefault="00FB51B6" w:rsidP="00FB51B6">
            <w:pPr>
              <w:rPr>
                <w:rFonts w:ascii="Times New Roman" w:hAnsi="Times New Roman" w:cs="Times New Roman"/>
                <w:sz w:val="24"/>
                <w:szCs w:val="24"/>
                <w:lang w:val="ro-RO"/>
              </w:rPr>
            </w:pPr>
            <w:r>
              <w:rPr>
                <w:rFonts w:ascii="Times New Roman" w:hAnsi="Times New Roman" w:cs="Times New Roman"/>
                <w:sz w:val="24"/>
                <w:szCs w:val="24"/>
                <w:lang w:val="ro-RO"/>
              </w:rPr>
              <w:t>Soluție</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4 500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R.B. v. Hungary (Cameră, 2016)</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3 (procedural)</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anchetă ineficientă, victimă minoră, abuz fizic</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Un minor a reclamat agresiuni, însă autoritățile au întârziat demararea și finalizarea investigației.</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Dacă statul a încălcat obligația de a investiga eficient acuzațiile de abuz asupra unui minor.</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xml:space="preserve"> Ancheta a fost superficială și lipsită de promptitudine, ceea ce a compromis aflarea adevărului.</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Încălcarea art. 3 procedural.</w:t>
            </w:r>
          </w:p>
          <w:p w:rsid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Soluție</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7 000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lastRenderedPageBreak/>
              <w:t>16.</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Aden Ahmed v. Malta (Cameră, 2013)</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3, art. 5 §1</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solicitant de azil, detenție prelungită, condiții inumane</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xml:space="preserve"> Reclamanta, femeie însărcinată, a fost reținută timp îndelungat în condiții precare.</w:t>
            </w:r>
          </w:p>
          <w:p w:rsidR="001F0ACB" w:rsidRPr="001F0ACB" w:rsidRDefault="001F0ACB"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Problema juridică: Dacă detenția îndelungată este justificată și dacă condițiile respectă art. 3.</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Condițiile erau incompatibile cu demnitatea umană, iar detenția nu era fundamentată pe motive pertinente.</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Încălcare art. 3 și art. 5 §1.</w:t>
            </w:r>
          </w:p>
          <w:p w:rsidR="001F0ACB" w:rsidRDefault="00FB51B6" w:rsidP="00FB51B6">
            <w:pPr>
              <w:rPr>
                <w:rFonts w:ascii="Times New Roman" w:hAnsi="Times New Roman" w:cs="Times New Roman"/>
                <w:sz w:val="24"/>
                <w:szCs w:val="24"/>
                <w:lang w:val="ro-RO"/>
              </w:rPr>
            </w:pPr>
            <w:r>
              <w:rPr>
                <w:rFonts w:ascii="Times New Roman" w:hAnsi="Times New Roman" w:cs="Times New Roman"/>
                <w:sz w:val="24"/>
                <w:szCs w:val="24"/>
                <w:lang w:val="ro-RO"/>
              </w:rPr>
              <w:t>Soluție</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30 000 EUR.</w:t>
            </w:r>
          </w:p>
        </w:tc>
      </w:tr>
      <w:tr w:rsidR="001F0ACB" w:rsidRPr="001F0ACB"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Taddeucci and McCall v. Italy (Cameră, 2014)</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14 + art. 8</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orientare sexuală, permis de ședere, discriminare</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xml:space="preserve"> Italia a refuzat permiterea reîntregirii familiale unui cuplu homosexual ne-căsătorit.</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xml:space="preserve"> Dacă diferența de tratament față de cuplurile heterosexuale este justificată.</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xml:space="preserve"> Statul nu a furnizat motive plauzibile pentru a exclude cuplurile de același sex de la protecția vieții familiale.</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Încălcarea art. 14 + art. 8.</w:t>
            </w:r>
          </w:p>
          <w:p w:rsidR="001F0ACB" w:rsidRDefault="00FB51B6" w:rsidP="00FB51B6">
            <w:pPr>
              <w:rPr>
                <w:rFonts w:ascii="Times New Roman" w:hAnsi="Times New Roman" w:cs="Times New Roman"/>
                <w:sz w:val="24"/>
                <w:szCs w:val="24"/>
                <w:lang w:val="ro-RO"/>
              </w:rPr>
            </w:pPr>
            <w:r>
              <w:rPr>
                <w:rFonts w:ascii="Times New Roman" w:hAnsi="Times New Roman" w:cs="Times New Roman"/>
                <w:sz w:val="24"/>
                <w:szCs w:val="24"/>
                <w:lang w:val="ro-RO"/>
              </w:rPr>
              <w:t>Soluție</w:t>
            </w:r>
            <w:r w:rsidRPr="001F0ACB">
              <w:rPr>
                <w:rFonts w:ascii="Times New Roman" w:hAnsi="Times New Roman" w:cs="Times New Roman"/>
                <w:sz w:val="24"/>
                <w:szCs w:val="24"/>
                <w:lang w:val="ro-RO"/>
              </w:rPr>
              <w:t>:</w:t>
            </w:r>
            <w:r>
              <w:rPr>
                <w:rFonts w:ascii="Times New Roman" w:hAnsi="Times New Roman" w:cs="Times New Roman"/>
                <w:sz w:val="24"/>
                <w:szCs w:val="24"/>
                <w:lang w:val="ro-RO"/>
              </w:rPr>
              <w:t xml:space="preserve"> despăgubiri de</w:t>
            </w:r>
            <w:r w:rsidRPr="001F0ACB">
              <w:rPr>
                <w:rFonts w:ascii="Times New Roman" w:hAnsi="Times New Roman" w:cs="Times New Roman"/>
                <w:sz w:val="24"/>
                <w:szCs w:val="24"/>
                <w:lang w:val="ro-RO"/>
              </w:rPr>
              <w:t xml:space="preserve"> 20 000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M.C. and A.C. v. Romania (Cameră, 2016)</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3, art. 14</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violență domestică, lipsa protecției, discriminare de gen</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xml:space="preserve"> Mama și fiica au fost agresate repetat de tată, autoritățile refuzând să intervină eficient.</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xml:space="preserve"> Dacă lipsa protecției constituie tratament degradant și discriminare.</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xml:space="preserve"> Inacțiunea autorităților a perpetuat violența, afectând drepturile fundamentale.</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xml:space="preserve"> Încălcarea art. 3 și art. 14.</w:t>
            </w:r>
          </w:p>
          <w:p w:rsid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Soluție</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9 000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19.</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Škorjanec v. Croatia (Cameră, 2017)</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14 + art. 3</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infracțiune motivată de ură, asociere cu minoritate, anchetă defectuoasă</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xml:space="preserve"> Reclamanta a fost atacată pentru că era însoțită de un bărbat rom, autoritățile ignorând componenta rasistă.</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xml:space="preserve"> Dacă statul are obligația de a investiga motivele discriminatorii ale agresiunii.</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xml:space="preserve"> Autoritățile nu au verificat pista rasistă, încălcând obligația procedurală de protecție împotriva urii etnice.</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lastRenderedPageBreak/>
              <w:t>Decizie:</w:t>
            </w:r>
            <w:r w:rsidRPr="001F0ACB">
              <w:rPr>
                <w:rFonts w:ascii="Times New Roman" w:hAnsi="Times New Roman" w:cs="Times New Roman"/>
                <w:sz w:val="24"/>
                <w:szCs w:val="24"/>
                <w:lang w:val="ro-RO"/>
              </w:rPr>
              <w:t xml:space="preserve"> Încălcarea art. 14 + art. 3 procedural.</w:t>
            </w:r>
          </w:p>
          <w:p w:rsid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Soluția</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8 000 EUR.</w:t>
            </w:r>
          </w:p>
        </w:tc>
      </w:tr>
      <w:tr w:rsidR="001F0ACB" w:rsidRPr="006F44C3" w:rsidTr="00143633">
        <w:trPr>
          <w:trHeight w:val="766"/>
        </w:trPr>
        <w:tc>
          <w:tcPr>
            <w:tcW w:w="933" w:type="dxa"/>
          </w:tcPr>
          <w:p w:rsidR="001F0ACB" w:rsidRDefault="001F0ACB" w:rsidP="00143633">
            <w:pPr>
              <w:rPr>
                <w:rFonts w:ascii="Times New Roman" w:hAnsi="Times New Roman" w:cs="Times New Roman"/>
                <w:sz w:val="24"/>
                <w:szCs w:val="24"/>
                <w:lang w:val="ro-RO"/>
              </w:rPr>
            </w:pPr>
            <w:r>
              <w:rPr>
                <w:rFonts w:ascii="Times New Roman" w:hAnsi="Times New Roman" w:cs="Times New Roman"/>
                <w:sz w:val="24"/>
                <w:szCs w:val="24"/>
                <w:lang w:val="ro-RO"/>
              </w:rPr>
              <w:t>20.</w:t>
            </w:r>
          </w:p>
        </w:tc>
        <w:tc>
          <w:tcPr>
            <w:tcW w:w="1756" w:type="dxa"/>
          </w:tcPr>
          <w:p w:rsidR="00FB51B6" w:rsidRPr="001F0ACB" w:rsidRDefault="00FB51B6" w:rsidP="00FB51B6">
            <w:pPr>
              <w:rPr>
                <w:rFonts w:ascii="Times New Roman" w:hAnsi="Times New Roman" w:cs="Times New Roman"/>
                <w:sz w:val="24"/>
                <w:szCs w:val="24"/>
                <w:lang w:val="ro-RO"/>
              </w:rPr>
            </w:pPr>
            <w:r w:rsidRPr="001F0ACB">
              <w:rPr>
                <w:rFonts w:ascii="Times New Roman" w:hAnsi="Times New Roman" w:cs="Times New Roman"/>
                <w:sz w:val="24"/>
                <w:szCs w:val="24"/>
                <w:lang w:val="ro-RO"/>
              </w:rPr>
              <w:t>N.D. and N.T. v. Spain (Cameră, 2017)</w:t>
            </w:r>
          </w:p>
          <w:p w:rsidR="001F0ACB" w:rsidRPr="001F0ACB" w:rsidRDefault="001F0ACB" w:rsidP="00143633">
            <w:pPr>
              <w:rPr>
                <w:rFonts w:ascii="Times New Roman" w:hAnsi="Times New Roman" w:cs="Times New Roman"/>
                <w:sz w:val="24"/>
                <w:szCs w:val="24"/>
                <w:lang w:val="ro-RO"/>
              </w:rPr>
            </w:pPr>
          </w:p>
        </w:tc>
        <w:tc>
          <w:tcPr>
            <w:tcW w:w="1842"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art. 4 Protocolul 4; art. 13</w:t>
            </w:r>
          </w:p>
        </w:tc>
        <w:tc>
          <w:tcPr>
            <w:tcW w:w="2268" w:type="dxa"/>
          </w:tcPr>
          <w:p w:rsidR="001F0ACB" w:rsidRPr="001F0ACB" w:rsidRDefault="00FB51B6" w:rsidP="001F0ACB">
            <w:pPr>
              <w:rPr>
                <w:rFonts w:ascii="Times New Roman" w:hAnsi="Times New Roman" w:cs="Times New Roman"/>
                <w:sz w:val="24"/>
                <w:szCs w:val="24"/>
                <w:lang w:val="ro-RO"/>
              </w:rPr>
            </w:pPr>
            <w:r w:rsidRPr="001F0ACB">
              <w:rPr>
                <w:rFonts w:ascii="Times New Roman" w:hAnsi="Times New Roman" w:cs="Times New Roman"/>
                <w:sz w:val="24"/>
                <w:szCs w:val="24"/>
                <w:lang w:val="ro-RO"/>
              </w:rPr>
              <w:t>expulzare colectivă, frontiera Melilla, lipsa garanțiilor</w:t>
            </w:r>
          </w:p>
        </w:tc>
        <w:tc>
          <w:tcPr>
            <w:tcW w:w="5453" w:type="dxa"/>
          </w:tcPr>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Fapte relevante</w:t>
            </w:r>
            <w:r w:rsidRPr="001F0ACB">
              <w:rPr>
                <w:rFonts w:ascii="Times New Roman" w:hAnsi="Times New Roman" w:cs="Times New Roman"/>
                <w:sz w:val="24"/>
                <w:szCs w:val="24"/>
                <w:lang w:val="ro-RO"/>
              </w:rPr>
              <w:t>: Doi migranți au fost returnați imediat în Maroc fără procedură individuală.</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Problema juridică:</w:t>
            </w:r>
            <w:r w:rsidRPr="001F0ACB">
              <w:rPr>
                <w:rFonts w:ascii="Times New Roman" w:hAnsi="Times New Roman" w:cs="Times New Roman"/>
                <w:sz w:val="24"/>
                <w:szCs w:val="24"/>
                <w:lang w:val="ro-RO"/>
              </w:rPr>
              <w:t xml:space="preserve"> Dacă returnarea automată echivalează cu expulzare colectivă.</w:t>
            </w:r>
          </w:p>
          <w:p w:rsidR="001F0ACB" w:rsidRPr="001F0ACB" w:rsidRDefault="001F0ACB" w:rsidP="001F0ACB">
            <w:pPr>
              <w:rPr>
                <w:rFonts w:ascii="Times New Roman" w:hAnsi="Times New Roman" w:cs="Times New Roman"/>
                <w:sz w:val="24"/>
                <w:szCs w:val="24"/>
                <w:lang w:val="ro-RO"/>
              </w:rPr>
            </w:pPr>
            <w:r w:rsidRPr="00FB51B6">
              <w:rPr>
                <w:rFonts w:ascii="Times New Roman" w:hAnsi="Times New Roman" w:cs="Times New Roman"/>
                <w:i/>
                <w:sz w:val="24"/>
                <w:szCs w:val="24"/>
                <w:lang w:val="ro-RO"/>
              </w:rPr>
              <w:t>Raționamentul Curții</w:t>
            </w:r>
            <w:r w:rsidRPr="001F0ACB">
              <w:rPr>
                <w:rFonts w:ascii="Times New Roman" w:hAnsi="Times New Roman" w:cs="Times New Roman"/>
                <w:sz w:val="24"/>
                <w:szCs w:val="24"/>
                <w:lang w:val="ro-RO"/>
              </w:rPr>
              <w:t>: Autoritățile au aplicat o măsură automată, lipsită de analize individuale și căi de atac.</w:t>
            </w:r>
          </w:p>
          <w:p w:rsidR="001F0ACB" w:rsidRPr="001F0ACB" w:rsidRDefault="001F0ACB" w:rsidP="001F0ACB">
            <w:pPr>
              <w:rPr>
                <w:rFonts w:ascii="Times New Roman" w:hAnsi="Times New Roman" w:cs="Times New Roman"/>
                <w:sz w:val="24"/>
                <w:szCs w:val="24"/>
                <w:lang w:val="ro-RO"/>
              </w:rPr>
            </w:pPr>
          </w:p>
        </w:tc>
        <w:tc>
          <w:tcPr>
            <w:tcW w:w="3293" w:type="dxa"/>
          </w:tcPr>
          <w:p w:rsidR="00FB51B6" w:rsidRPr="001F0ACB" w:rsidRDefault="00FB51B6" w:rsidP="00FB51B6">
            <w:pPr>
              <w:rPr>
                <w:rFonts w:ascii="Times New Roman" w:hAnsi="Times New Roman" w:cs="Times New Roman"/>
                <w:sz w:val="24"/>
                <w:szCs w:val="24"/>
                <w:lang w:val="ro-RO"/>
              </w:rPr>
            </w:pPr>
            <w:r w:rsidRPr="00FB51B6">
              <w:rPr>
                <w:rFonts w:ascii="Times New Roman" w:hAnsi="Times New Roman" w:cs="Times New Roman"/>
                <w:i/>
                <w:sz w:val="24"/>
                <w:szCs w:val="24"/>
                <w:lang w:val="ro-RO"/>
              </w:rPr>
              <w:t>Decizie:</w:t>
            </w:r>
            <w:r w:rsidRPr="001F0ACB">
              <w:rPr>
                <w:rFonts w:ascii="Times New Roman" w:hAnsi="Times New Roman" w:cs="Times New Roman"/>
                <w:sz w:val="24"/>
                <w:szCs w:val="24"/>
                <w:lang w:val="ro-RO"/>
              </w:rPr>
              <w:t xml:space="preserve"> Încălcarea art. 4 Protocolul 4 și art. 13.</w:t>
            </w:r>
          </w:p>
          <w:p w:rsidR="001F0ACB" w:rsidRDefault="00FB51B6" w:rsidP="00FB51B6">
            <w:pPr>
              <w:rPr>
                <w:rFonts w:ascii="Times New Roman" w:hAnsi="Times New Roman" w:cs="Times New Roman"/>
                <w:sz w:val="24"/>
                <w:szCs w:val="24"/>
                <w:lang w:val="ro-RO"/>
              </w:rPr>
            </w:pPr>
            <w:r>
              <w:rPr>
                <w:rFonts w:ascii="Times New Roman" w:hAnsi="Times New Roman" w:cs="Times New Roman"/>
                <w:i/>
                <w:sz w:val="24"/>
                <w:szCs w:val="24"/>
                <w:lang w:val="ro-RO"/>
              </w:rPr>
              <w:t>Soluția</w:t>
            </w:r>
            <w:r w:rsidRPr="00FB51B6">
              <w:rPr>
                <w:rFonts w:ascii="Times New Roman" w:hAnsi="Times New Roman" w:cs="Times New Roman"/>
                <w:i/>
                <w:sz w:val="24"/>
                <w:szCs w:val="24"/>
                <w:lang w:val="ro-RO"/>
              </w:rPr>
              <w:t>:</w:t>
            </w:r>
            <w:r w:rsidRPr="001F0AC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despăgubiri de </w:t>
            </w:r>
            <w:r w:rsidRPr="001F0ACB">
              <w:rPr>
                <w:rFonts w:ascii="Times New Roman" w:hAnsi="Times New Roman" w:cs="Times New Roman"/>
                <w:sz w:val="24"/>
                <w:szCs w:val="24"/>
                <w:lang w:val="ro-RO"/>
              </w:rPr>
              <w:t>5 000 EUR</w:t>
            </w:r>
          </w:p>
        </w:tc>
      </w:tr>
    </w:tbl>
    <w:p w:rsidR="0029712A" w:rsidRPr="001F0ACB" w:rsidRDefault="0029712A">
      <w:pPr>
        <w:rPr>
          <w:lang w:val="fr-FR"/>
        </w:rPr>
      </w:pPr>
    </w:p>
    <w:sectPr w:rsidR="0029712A" w:rsidRPr="001F0ACB" w:rsidSect="001F0A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CB"/>
    <w:rsid w:val="000D26D8"/>
    <w:rsid w:val="001F0ACB"/>
    <w:rsid w:val="0029712A"/>
    <w:rsid w:val="007514AC"/>
    <w:rsid w:val="00FB5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53041-BC0A-4AF1-B319-7159702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2025-12-18T17:40:00Z</dcterms:created>
  <dcterms:modified xsi:type="dcterms:W3CDTF">2025-12-18T17:40:00Z</dcterms:modified>
</cp:coreProperties>
</file>