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6B3" w14:textId="77777777" w:rsidR="00EF50C0" w:rsidRPr="0069613F" w:rsidRDefault="00EF50C0" w:rsidP="00EF50C0">
      <w:pPr>
        <w:tabs>
          <w:tab w:val="left" w:pos="709"/>
          <w:tab w:val="left" w:pos="993"/>
        </w:tabs>
        <w:jc w:val="center"/>
        <w:rPr>
          <w:b/>
          <w:noProof/>
          <w:lang w:val="ro-MD"/>
        </w:rPr>
      </w:pPr>
      <w:r w:rsidRPr="0069613F">
        <w:rPr>
          <w:b/>
          <w:noProof/>
          <w:lang w:val="ro-MD"/>
        </w:rPr>
        <w:t>BIBLIOGRAFIE RECOMANDATĂ</w:t>
      </w:r>
    </w:p>
    <w:p w14:paraId="0621E8A1" w14:textId="77777777" w:rsidR="00EF50C0" w:rsidRPr="0069613F" w:rsidRDefault="00EF50C0" w:rsidP="00EF50C0">
      <w:pPr>
        <w:tabs>
          <w:tab w:val="left" w:pos="709"/>
          <w:tab w:val="left" w:pos="993"/>
        </w:tabs>
        <w:jc w:val="both"/>
        <w:rPr>
          <w:i/>
          <w:noProof/>
          <w:lang w:val="ro-MD"/>
        </w:rPr>
      </w:pPr>
      <w:r w:rsidRPr="0069613F">
        <w:rPr>
          <w:i/>
          <w:noProof/>
          <w:lang w:val="ro-MD"/>
        </w:rPr>
        <w:t>De bază:</w:t>
      </w:r>
    </w:p>
    <w:p w14:paraId="5DE6136C" w14:textId="77777777" w:rsidR="00EF50C0" w:rsidRPr="0069613F" w:rsidRDefault="00EF50C0" w:rsidP="00EF50C0">
      <w:pPr>
        <w:pStyle w:val="a6"/>
        <w:numPr>
          <w:ilvl w:val="0"/>
          <w:numId w:val="1"/>
        </w:numPr>
        <w:shd w:val="clear" w:color="auto" w:fill="FFFFFF"/>
        <w:tabs>
          <w:tab w:val="clear" w:pos="900"/>
        </w:tabs>
        <w:ind w:left="284"/>
        <w:jc w:val="both"/>
        <w:rPr>
          <w:noProof/>
          <w:lang w:val="ro-MD"/>
        </w:rPr>
      </w:pPr>
      <w:r w:rsidRPr="0069613F">
        <w:rPr>
          <w:noProof/>
          <w:lang w:val="ro-MD"/>
        </w:rPr>
        <w:t>Codul fiscal al Republicii Moldova nr. 1163-XIII din 24.04.1997. În:</w:t>
      </w:r>
      <w:r w:rsidRPr="0069613F">
        <w:rPr>
          <w:rFonts w:eastAsia="Calibri"/>
          <w:noProof/>
          <w:lang w:val="ro-MD"/>
        </w:rPr>
        <w:t xml:space="preserve"> </w:t>
      </w:r>
      <w:r w:rsidRPr="0069613F">
        <w:rPr>
          <w:i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 xml:space="preserve"> din 18 septembrie 1997, nr. 62/522 (republicat în </w:t>
      </w:r>
      <w:r w:rsidRPr="0069613F">
        <w:rPr>
          <w:i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>, ediție specială din 08.02.2007);</w:t>
      </w:r>
    </w:p>
    <w:p w14:paraId="5E83F325" w14:textId="77777777" w:rsidR="00EF50C0" w:rsidRPr="0069613F" w:rsidRDefault="00EF50C0" w:rsidP="00EF50C0">
      <w:pPr>
        <w:pStyle w:val="a6"/>
        <w:numPr>
          <w:ilvl w:val="0"/>
          <w:numId w:val="1"/>
        </w:numPr>
        <w:shd w:val="clear" w:color="auto" w:fill="FFFFFF"/>
        <w:tabs>
          <w:tab w:val="clear" w:pos="900"/>
        </w:tabs>
        <w:ind w:left="284"/>
        <w:jc w:val="both"/>
        <w:rPr>
          <w:noProof/>
          <w:lang w:val="ro-MD"/>
        </w:rPr>
      </w:pPr>
      <w:r w:rsidRPr="0069613F">
        <w:rPr>
          <w:rFonts w:eastAsia="MinionPro-Regular"/>
          <w:noProof/>
          <w:lang w:val="ro-MD"/>
        </w:rPr>
        <w:t xml:space="preserve">Codul civil al Republicii Moldova nr.1107-XV din 06.06.2002. </w:t>
      </w:r>
      <w:r w:rsidRPr="0069613F">
        <w:rPr>
          <w:noProof/>
          <w:lang w:val="ro-MD"/>
        </w:rPr>
        <w:t>În:</w:t>
      </w:r>
      <w:r w:rsidRPr="0069613F">
        <w:rPr>
          <w:rFonts w:eastAsia="MinionPro-Regular"/>
          <w:noProof/>
          <w:lang w:val="ro-MD"/>
        </w:rPr>
        <w:t xml:space="preserve"> </w:t>
      </w:r>
      <w:r w:rsidRPr="0069613F">
        <w:rPr>
          <w:i/>
          <w:noProof/>
          <w:lang w:val="ro-MD"/>
        </w:rPr>
        <w:t>Monitorul Oficial al Republicii Moldov</w:t>
      </w:r>
      <w:r w:rsidRPr="0069613F">
        <w:rPr>
          <w:noProof/>
          <w:lang w:val="ro-MD"/>
        </w:rPr>
        <w:t>a, nr. 66-75 din 1.03.2019;</w:t>
      </w:r>
    </w:p>
    <w:p w14:paraId="0713B547" w14:textId="77777777" w:rsidR="00EF50C0" w:rsidRPr="0069613F" w:rsidRDefault="00EF50C0" w:rsidP="00EF50C0">
      <w:pPr>
        <w:pStyle w:val="a6"/>
        <w:numPr>
          <w:ilvl w:val="0"/>
          <w:numId w:val="1"/>
        </w:numPr>
        <w:shd w:val="clear" w:color="auto" w:fill="FFFFFF"/>
        <w:tabs>
          <w:tab w:val="clear" w:pos="900"/>
          <w:tab w:val="left" w:pos="284"/>
        </w:tabs>
        <w:ind w:left="284" w:hanging="357"/>
        <w:jc w:val="both"/>
        <w:rPr>
          <w:noProof/>
          <w:lang w:val="ro-MD"/>
        </w:rPr>
      </w:pPr>
      <w:r w:rsidRPr="0069613F">
        <w:rPr>
          <w:bCs/>
          <w:noProof/>
          <w:lang w:val="ro-MD" w:eastAsia="ro-RO"/>
        </w:rPr>
        <w:t>Legea contabilității şi raportării financiare nr. 287 din 15.12.2017</w:t>
      </w:r>
      <w:r w:rsidRPr="0069613F">
        <w:rPr>
          <w:iCs/>
          <w:noProof/>
          <w:lang w:val="ro-MD" w:eastAsia="ro-RO"/>
        </w:rPr>
        <w:t>.</w:t>
      </w:r>
      <w:r w:rsidRPr="0069613F">
        <w:rPr>
          <w:i/>
          <w:iCs/>
          <w:noProof/>
          <w:lang w:val="ro-MD" w:eastAsia="ro-RO"/>
        </w:rPr>
        <w:t xml:space="preserve"> </w:t>
      </w:r>
      <w:r w:rsidRPr="0069613F">
        <w:rPr>
          <w:noProof/>
          <w:lang w:val="ro-MD"/>
        </w:rPr>
        <w:t xml:space="preserve">În: </w:t>
      </w:r>
      <w:r w:rsidRPr="0069613F">
        <w:rPr>
          <w:i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 xml:space="preserve">, </w:t>
      </w:r>
      <w:r w:rsidRPr="0069613F">
        <w:rPr>
          <w:noProof/>
          <w:lang w:val="ro-MD" w:eastAsia="ro-RO"/>
        </w:rPr>
        <w:t>nr. 1-6 art.22 din 05.01.2018;</w:t>
      </w:r>
    </w:p>
    <w:p w14:paraId="1A1E0850" w14:textId="77777777" w:rsidR="00EF50C0" w:rsidRPr="0069613F" w:rsidRDefault="00EF50C0" w:rsidP="00EF50C0">
      <w:pPr>
        <w:numPr>
          <w:ilvl w:val="0"/>
          <w:numId w:val="1"/>
        </w:numPr>
        <w:tabs>
          <w:tab w:val="clear" w:pos="900"/>
          <w:tab w:val="left" w:pos="0"/>
          <w:tab w:val="left" w:pos="284"/>
        </w:tabs>
        <w:ind w:left="284" w:hanging="357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Standardele Naţionale de Contabilitate. În: </w:t>
      </w:r>
      <w:r w:rsidRPr="0069613F">
        <w:rPr>
          <w:i/>
          <w:iCs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 xml:space="preserve"> nr.</w:t>
      </w:r>
      <w:r w:rsidRPr="0069613F">
        <w:rPr>
          <w:noProof/>
          <w:color w:val="000000"/>
          <w:lang w:val="ro-MD"/>
        </w:rPr>
        <w:t xml:space="preserve"> 233-237/1533 din 22.10.2013;</w:t>
      </w:r>
    </w:p>
    <w:p w14:paraId="0D319C4A" w14:textId="77777777" w:rsidR="00EF50C0" w:rsidRPr="0069613F" w:rsidRDefault="00EF50C0" w:rsidP="00EF50C0">
      <w:pPr>
        <w:numPr>
          <w:ilvl w:val="0"/>
          <w:numId w:val="1"/>
        </w:numPr>
        <w:tabs>
          <w:tab w:val="clear" w:pos="900"/>
          <w:tab w:val="left" w:pos="0"/>
        </w:tabs>
        <w:ind w:left="284" w:hanging="357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Planul general de conturi contabile. În: </w:t>
      </w:r>
      <w:r w:rsidRPr="0069613F">
        <w:rPr>
          <w:i/>
          <w:iCs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 xml:space="preserve"> nr.</w:t>
      </w:r>
      <w:r w:rsidRPr="0069613F">
        <w:rPr>
          <w:noProof/>
          <w:color w:val="000000"/>
          <w:lang w:val="ro-MD"/>
        </w:rPr>
        <w:t xml:space="preserve"> 233-237/1533 din 22.10.2013;</w:t>
      </w:r>
    </w:p>
    <w:p w14:paraId="43457157" w14:textId="77777777" w:rsidR="00EF50C0" w:rsidRPr="0069613F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ind w:left="284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Ordinul Ministerului Finanțelor nr.154 din 09.12.2020 </w:t>
      </w:r>
      <w:r w:rsidRPr="0069613F">
        <w:rPr>
          <w:rStyle w:val="a3"/>
          <w:noProof/>
          <w:color w:val="333333"/>
          <w:lang w:val="ro-MD"/>
        </w:rPr>
        <w:t xml:space="preserve">cu privire la aprobarea Ghidului metodologic de întocmire a situațiilor financiare. </w:t>
      </w:r>
      <w:r w:rsidRPr="0069613F">
        <w:rPr>
          <w:noProof/>
          <w:lang w:val="ro-MD"/>
        </w:rPr>
        <w:t xml:space="preserve">În: </w:t>
      </w:r>
      <w:r w:rsidRPr="0069613F">
        <w:rPr>
          <w:i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>, nr.360-371 din 25.12.2020, art.1389.</w:t>
      </w:r>
    </w:p>
    <w:p w14:paraId="5A19E1C2" w14:textId="77777777" w:rsidR="00EF50C0" w:rsidRPr="0069613F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ind w:left="284"/>
        <w:jc w:val="both"/>
        <w:rPr>
          <w:b/>
          <w:noProof/>
          <w:lang w:val="ro-MD"/>
        </w:rPr>
      </w:pPr>
      <w:r w:rsidRPr="0069613F">
        <w:rPr>
          <w:noProof/>
          <w:lang w:val="ro-MD"/>
        </w:rPr>
        <w:t xml:space="preserve">Ordinul Ministerului Finanțelor nr. 194 din 30.11.2018 cu privire la aprobarea modificărilor la Standardul Național de Contabilitate „Prezentarea situațiilor financiare”. În: </w:t>
      </w:r>
      <w:r w:rsidRPr="0069613F">
        <w:rPr>
          <w:i/>
          <w:noProof/>
          <w:lang w:val="ro-MD"/>
        </w:rPr>
        <w:t>Monitorul Oficial al Republicii Moldova</w:t>
      </w:r>
      <w:r w:rsidRPr="0069613F">
        <w:rPr>
          <w:noProof/>
          <w:lang w:val="ro-MD"/>
        </w:rPr>
        <w:t xml:space="preserve">, nr.467-479 din 14.12.2018. </w:t>
      </w:r>
    </w:p>
    <w:p w14:paraId="2DF6B06F" w14:textId="77777777" w:rsidR="00EF50C0" w:rsidRPr="0069613F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ind w:left="284"/>
        <w:jc w:val="both"/>
        <w:rPr>
          <w:rFonts w:eastAsia="Calibri"/>
          <w:noProof/>
          <w:lang w:val="ro-MD"/>
        </w:rPr>
      </w:pPr>
      <w:r w:rsidRPr="0069613F">
        <w:rPr>
          <w:rFonts w:eastAsia="Calibri"/>
          <w:noProof/>
          <w:lang w:val="ro-MD"/>
        </w:rPr>
        <w:t xml:space="preserve">Regulamentul privind inventarierea, aprobat prin Ordinul Ministerului Finanţelor al Republicii Moldova nr. 60 din 29.05.2012. </w:t>
      </w:r>
      <w:r w:rsidRPr="0069613F">
        <w:rPr>
          <w:noProof/>
          <w:lang w:val="ro-MD"/>
        </w:rPr>
        <w:t xml:space="preserve">În: </w:t>
      </w:r>
      <w:r w:rsidRPr="0069613F">
        <w:rPr>
          <w:rFonts w:eastAsia="Calibri"/>
          <w:i/>
          <w:iCs/>
          <w:noProof/>
          <w:lang w:val="ro-MD"/>
        </w:rPr>
        <w:t>Monitorul Oficial al Republicii Moldova</w:t>
      </w:r>
      <w:r w:rsidRPr="0069613F">
        <w:rPr>
          <w:rFonts w:eastAsia="Calibri"/>
          <w:noProof/>
          <w:lang w:val="ro-MD"/>
        </w:rPr>
        <w:t xml:space="preserve"> nr. 166–169 din 10.08.2012.</w:t>
      </w:r>
    </w:p>
    <w:p w14:paraId="6BDB6DCF" w14:textId="77777777" w:rsidR="00EF50C0" w:rsidRPr="0069613F" w:rsidRDefault="00EF50C0" w:rsidP="00EF50C0">
      <w:pPr>
        <w:pStyle w:val="a4"/>
        <w:numPr>
          <w:ilvl w:val="0"/>
          <w:numId w:val="1"/>
        </w:numPr>
        <w:tabs>
          <w:tab w:val="clear" w:pos="900"/>
        </w:tabs>
        <w:spacing w:after="0"/>
        <w:ind w:left="284"/>
        <w:jc w:val="both"/>
        <w:rPr>
          <w:noProof/>
          <w:lang w:val="ro-MD"/>
        </w:rPr>
      </w:pPr>
      <w:hyperlink r:id="rId5" w:history="1">
        <w:r w:rsidRPr="0069613F">
          <w:rPr>
            <w:noProof/>
            <w:lang w:val="ro-MD"/>
          </w:rPr>
          <w:t>Cadrului general internațional de raportare integrată</w:t>
        </w:r>
      </w:hyperlink>
      <w:r w:rsidRPr="0069613F">
        <w:rPr>
          <w:noProof/>
          <w:lang w:val="ro-MD"/>
        </w:rPr>
        <w:t>,</w:t>
      </w:r>
      <w:r w:rsidRPr="0069613F">
        <w:rPr>
          <w:rFonts w:ascii="Noto Sans" w:hAnsi="Noto Sans" w:cs="Noto Sans"/>
          <w:noProof/>
          <w:color w:val="111111"/>
          <w:shd w:val="clear" w:color="auto" w:fill="FFFFFF"/>
          <w:lang w:val="ro-MD"/>
        </w:rPr>
        <w:t xml:space="preserve"> </w:t>
      </w:r>
      <w:r w:rsidRPr="0069613F">
        <w:rPr>
          <w:noProof/>
          <w:color w:val="111111"/>
          <w:shd w:val="clear" w:color="auto" w:fill="FFFFFF"/>
          <w:lang w:val="ro-MD"/>
        </w:rPr>
        <w:t xml:space="preserve">elaborat de Consiliul Internațional de Raportare Integrată (IIRC), ediția revizuită și publicată în 2021. </w:t>
      </w:r>
      <w:hyperlink r:id="rId6" w:history="1">
        <w:r w:rsidRPr="0069613F">
          <w:rPr>
            <w:rStyle w:val="a8"/>
            <w:noProof/>
            <w:shd w:val="clear" w:color="auto" w:fill="FFFFFF"/>
            <w:lang w:val="ro-MD"/>
          </w:rPr>
          <w:t>https://ceccar.ro/ro/wp-content/uploads/2021/09/3103_IIRC_framework_doc_8a-RO-FINAL.pdf</w:t>
        </w:r>
      </w:hyperlink>
      <w:r w:rsidRPr="0069613F">
        <w:rPr>
          <w:noProof/>
          <w:color w:val="111111"/>
          <w:shd w:val="clear" w:color="auto" w:fill="FFFFFF"/>
          <w:lang w:val="ro-MD"/>
        </w:rPr>
        <w:t xml:space="preserve"> </w:t>
      </w:r>
    </w:p>
    <w:p w14:paraId="5C109615" w14:textId="77777777" w:rsidR="00EF50C0" w:rsidRPr="0069613F" w:rsidRDefault="00EF50C0" w:rsidP="00EF50C0">
      <w:pPr>
        <w:pStyle w:val="a4"/>
        <w:numPr>
          <w:ilvl w:val="0"/>
          <w:numId w:val="1"/>
        </w:numPr>
        <w:tabs>
          <w:tab w:val="clear" w:pos="900"/>
        </w:tabs>
        <w:spacing w:after="0"/>
        <w:ind w:left="284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Directiva 2013/34/UE a Parlamentului European și a Consiliului din 26 iunie 2013 privind situațiile financiare anuale, situațiile financiare consolidate și rapoartele conexe ale anumitor tipuri de întreprinderi, de modificare a Directivei 2006/43/CE a Parlamentului European și a Consiliului și de abrogare a Directivelor 78/660/CEE și 83/349/CEE ale Consiliului </w:t>
      </w:r>
      <w:hyperlink r:id="rId7" w:history="1">
        <w:r w:rsidRPr="0069613F">
          <w:rPr>
            <w:rStyle w:val="a8"/>
            <w:noProof/>
            <w:lang w:val="ro-MD"/>
          </w:rPr>
          <w:t>http://eur-lex.europa.eu/legal-content/RO/TXT/HTML/?uri=CELEX:32013L0034&amp;qid=1403606060234&amp;from=RO</w:t>
        </w:r>
      </w:hyperlink>
      <w:r w:rsidRPr="0069613F">
        <w:rPr>
          <w:noProof/>
          <w:lang w:val="ro-MD"/>
        </w:rPr>
        <w:t xml:space="preserve">  </w:t>
      </w:r>
    </w:p>
    <w:p w14:paraId="035A9573" w14:textId="77777777" w:rsidR="00EF50C0" w:rsidRPr="0069613F" w:rsidRDefault="00EF50C0" w:rsidP="00EF50C0">
      <w:pPr>
        <w:pStyle w:val="a4"/>
        <w:numPr>
          <w:ilvl w:val="0"/>
          <w:numId w:val="1"/>
        </w:numPr>
        <w:tabs>
          <w:tab w:val="clear" w:pos="900"/>
        </w:tabs>
        <w:spacing w:after="0"/>
        <w:ind w:left="284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Directiva 2014/95/UE a Parlamentului European și a Consiliului din 22 octombrie 2014 de modificare a Directivei 2013/34/UE în ceea ce privește prezentarea de informații nefinanciare și de informații privind diversitatea de către anumite întreprinderi și grupuri mari </w:t>
      </w:r>
      <w:hyperlink r:id="rId8" w:history="1">
        <w:r w:rsidRPr="0069613F">
          <w:rPr>
            <w:rStyle w:val="a8"/>
            <w:noProof/>
            <w:lang w:val="ro-MD"/>
          </w:rPr>
          <w:t>https://eur-lex.europa.eu/legal-content/RO/TXT/?uri=celex%3A32014L0095</w:t>
        </w:r>
      </w:hyperlink>
      <w:r w:rsidRPr="0069613F">
        <w:rPr>
          <w:noProof/>
          <w:lang w:val="ro-MD"/>
        </w:rPr>
        <w:t xml:space="preserve"> </w:t>
      </w:r>
    </w:p>
    <w:p w14:paraId="45240CE2" w14:textId="77777777" w:rsidR="00EF50C0" w:rsidRPr="003A3A64" w:rsidRDefault="00EF50C0" w:rsidP="00EF50C0">
      <w:pPr>
        <w:pStyle w:val="a4"/>
        <w:numPr>
          <w:ilvl w:val="0"/>
          <w:numId w:val="1"/>
        </w:numPr>
        <w:tabs>
          <w:tab w:val="clear" w:pos="900"/>
        </w:tabs>
        <w:spacing w:after="0"/>
        <w:ind w:left="284"/>
        <w:jc w:val="both"/>
        <w:rPr>
          <w:noProof/>
          <w:lang w:val="ro-MD"/>
        </w:rPr>
      </w:pPr>
      <w:r w:rsidRPr="0069613F">
        <w:rPr>
          <w:noProof/>
          <w:color w:val="333333"/>
          <w:shd w:val="clear" w:color="auto" w:fill="FFFFFF"/>
          <w:lang w:val="ro-MD"/>
        </w:rPr>
        <w:t xml:space="preserve">Directiva (UE) 2022/2464 a Parlamentului European și a Consiliului din 14 decembrie 2022 de modificare a Regulamentului (UE) nr. 537/2014, a Directivei 2004/109/CE, a Directivei 2006/43/CE și a Directivei 2013/34/UE în ceea ce privește raportarea privind durabilitatea de către întreprinderi. </w:t>
      </w:r>
      <w:hyperlink r:id="rId9" w:history="1">
        <w:r w:rsidRPr="0069613F">
          <w:rPr>
            <w:rStyle w:val="a8"/>
            <w:noProof/>
            <w:shd w:val="clear" w:color="auto" w:fill="FFFFFF"/>
            <w:lang w:val="ro-MD"/>
          </w:rPr>
          <w:t>https://eur-lex.europa.eu/legal-content/RO/TXT/?uri=CELEX%3A32022L2464</w:t>
        </w:r>
      </w:hyperlink>
      <w:r w:rsidRPr="0069613F">
        <w:rPr>
          <w:noProof/>
          <w:color w:val="333333"/>
          <w:shd w:val="clear" w:color="auto" w:fill="FFFFFF"/>
          <w:lang w:val="ro-MD"/>
        </w:rPr>
        <w:t xml:space="preserve">  </w:t>
      </w:r>
    </w:p>
    <w:p w14:paraId="130F051C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after="160"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en-US"/>
        </w:rPr>
        <w:t xml:space="preserve">Comisia Europeană. (2023). Regulamentul delegat (UE) 2023/2772 de completare a Directivei 2013/34/UE în ceea ce privește standardele de raportare de sustenabilitate. Jurnalul Oficial al Uniunii Europene L, nr. 2023/2772, 22.12.2023. [Online] Disponibil la: </w:t>
      </w:r>
      <w:hyperlink r:id="rId10" w:history="1">
        <w:r w:rsidRPr="003A3A64">
          <w:rPr>
            <w:rStyle w:val="a8"/>
            <w:noProof/>
            <w:lang w:val="ro-MD"/>
          </w:rPr>
          <w:t>https://eur-lex.europa.eu/legal-content/RO/TXT/HTML/?uri=CELEX:02023R2772-20231222</w:t>
        </w:r>
      </w:hyperlink>
    </w:p>
    <w:p w14:paraId="4243AFD4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en-US"/>
        </w:rPr>
        <w:t xml:space="preserve">Comisia Europeană. (2025). Regulamentul delegat (UE) 2025/1416 al comisiei din 11 iulie 2025 de modificare a Regulamentului delegat (UE) 2023/2772 în ceea ce privește amânarea datei de aplicare a cerințelor de prezentare de informații pentru anumite întreprinderi. Jurnalul Oficial al Uniunii Europene L, nr. 2025/1416, 10.11.2025. [Online] Disponibil la: </w:t>
      </w:r>
      <w:hyperlink r:id="rId11" w:history="1">
        <w:r w:rsidRPr="003A3A64">
          <w:rPr>
            <w:rStyle w:val="a8"/>
            <w:noProof/>
            <w:lang w:val="en-US"/>
          </w:rPr>
          <w:t>https://eur-lex.europa.eu/legal-content/RO/TXT/PDF/?uri=OJ:L_202501416</w:t>
        </w:r>
      </w:hyperlink>
      <w:r w:rsidRPr="003A3A64">
        <w:rPr>
          <w:noProof/>
          <w:lang w:val="en-US"/>
        </w:rPr>
        <w:t xml:space="preserve"> </w:t>
      </w:r>
    </w:p>
    <w:p w14:paraId="39BD3BBF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en-US"/>
        </w:rPr>
        <w:lastRenderedPageBreak/>
        <w:t>Propunere de directivă a Parlamentului European și a Consiliului de modificare a Directivelor 2006/43/CE, 2013/34/UE, (UE) 2022/2464 și (UE) 2024/1760 în ceea ce privește anumite cerințe de raportare privind durabilitatea corporativă și de diligență necesară în materie de durabilitate a întreprinderilor. COM (2025) 81 final, 26.02.2025. [Online] Disponibil la:</w:t>
      </w:r>
      <w:r w:rsidRPr="003A3A64">
        <w:rPr>
          <w:noProof/>
          <w:lang w:val="ro-MD"/>
        </w:rPr>
        <w:t xml:space="preserve"> </w:t>
      </w:r>
      <w:hyperlink r:id="rId12" w:history="1">
        <w:r w:rsidRPr="003A3A64">
          <w:rPr>
            <w:rStyle w:val="a8"/>
            <w:noProof/>
            <w:lang w:val="ro-MD"/>
          </w:rPr>
          <w:t>https://eur-lex.europa.eu/legal-content/RO/TXT/PDF/?uri=CELEX:52025PC0081</w:t>
        </w:r>
      </w:hyperlink>
      <w:r w:rsidRPr="003A3A64">
        <w:rPr>
          <w:noProof/>
          <w:lang w:val="ro-MD"/>
        </w:rPr>
        <w:t xml:space="preserve"> </w:t>
      </w:r>
    </w:p>
    <w:p w14:paraId="2BA9DF29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ro-MD"/>
        </w:rPr>
        <w:t xml:space="preserve">Directiva (UE) 2025/794 a Parlamentului European și a Consiliului din 14 aprilie 2025 de modificare a Directivelor (UE) 2022/2464 și (UE) 2024/1760 în ceea ce privește datele de la care statele membre trebuie să aplice anumite cerințe de raportare și de diligență necesară în materie de durabilitate a întreprinderilor. </w:t>
      </w:r>
      <w:r w:rsidRPr="003A3A64">
        <w:rPr>
          <w:noProof/>
        </w:rPr>
        <w:t xml:space="preserve">[Online] Disponibil la: </w:t>
      </w:r>
      <w:hyperlink r:id="rId13" w:history="1">
        <w:r w:rsidRPr="003A3A64">
          <w:rPr>
            <w:rStyle w:val="a8"/>
            <w:noProof/>
            <w:lang w:val="ro-MD"/>
          </w:rPr>
          <w:t>https://eur-lex.europa.eu/eli/dir/2025/794/oj</w:t>
        </w:r>
      </w:hyperlink>
    </w:p>
    <w:p w14:paraId="2EE2FA64" w14:textId="77777777" w:rsidR="00EF50C0" w:rsidRPr="003A3A64" w:rsidRDefault="00EF50C0" w:rsidP="00EF50C0">
      <w:pPr>
        <w:pStyle w:val="a4"/>
        <w:numPr>
          <w:ilvl w:val="0"/>
          <w:numId w:val="1"/>
        </w:numPr>
        <w:tabs>
          <w:tab w:val="clear" w:pos="900"/>
        </w:tabs>
        <w:spacing w:after="0"/>
        <w:ind w:left="284"/>
        <w:jc w:val="both"/>
        <w:rPr>
          <w:lang w:val="ro-MD"/>
        </w:rPr>
      </w:pPr>
      <w:r w:rsidRPr="003A3A64">
        <w:rPr>
          <w:color w:val="333333"/>
          <w:shd w:val="clear" w:color="auto" w:fill="FFFFFF"/>
        </w:rPr>
        <w:t>Directiva (UE) 2022/2464 a Parlamentului European și a Consiliului din 14</w:t>
      </w:r>
      <w:r w:rsidRPr="003A3A64">
        <w:rPr>
          <w:color w:val="333333"/>
          <w:shd w:val="clear" w:color="auto" w:fill="FFFFFF"/>
          <w:lang w:val="ro-MD"/>
        </w:rPr>
        <w:t xml:space="preserve"> </w:t>
      </w:r>
      <w:r w:rsidRPr="003A3A64">
        <w:rPr>
          <w:color w:val="333333"/>
          <w:shd w:val="clear" w:color="auto" w:fill="FFFFFF"/>
        </w:rPr>
        <w:t>decembrie 2022 de modificare a Regulamentului</w:t>
      </w:r>
      <w:r w:rsidRPr="003A3A64">
        <w:rPr>
          <w:color w:val="333333"/>
          <w:shd w:val="clear" w:color="auto" w:fill="FFFFFF"/>
          <w:lang w:val="ro-MD"/>
        </w:rPr>
        <w:t xml:space="preserve"> </w:t>
      </w:r>
      <w:r w:rsidRPr="003A3A64">
        <w:rPr>
          <w:color w:val="333333"/>
          <w:shd w:val="clear" w:color="auto" w:fill="FFFFFF"/>
        </w:rPr>
        <w:t>(UE) nr.</w:t>
      </w:r>
      <w:r w:rsidRPr="003A3A64">
        <w:rPr>
          <w:color w:val="333333"/>
          <w:shd w:val="clear" w:color="auto" w:fill="FFFFFF"/>
          <w:lang w:val="ro-MD"/>
        </w:rPr>
        <w:t xml:space="preserve"> </w:t>
      </w:r>
      <w:r w:rsidRPr="003A3A64">
        <w:rPr>
          <w:color w:val="333333"/>
          <w:shd w:val="clear" w:color="auto" w:fill="FFFFFF"/>
        </w:rPr>
        <w:t>537/2014, a Directivei 2004/109/CE, a Directivei</w:t>
      </w:r>
      <w:r w:rsidRPr="003A3A64">
        <w:rPr>
          <w:color w:val="333333"/>
          <w:shd w:val="clear" w:color="auto" w:fill="FFFFFF"/>
          <w:lang w:val="ro-MD"/>
        </w:rPr>
        <w:t xml:space="preserve"> </w:t>
      </w:r>
      <w:r w:rsidRPr="003A3A64">
        <w:rPr>
          <w:color w:val="333333"/>
          <w:shd w:val="clear" w:color="auto" w:fill="FFFFFF"/>
        </w:rPr>
        <w:t>2006/43/CE și a Directivei 2013/34/UE în ceea ce privește raportarea privind durabilitatea de către întreprinderi</w:t>
      </w:r>
      <w:r w:rsidRPr="003A3A64">
        <w:rPr>
          <w:color w:val="333333"/>
          <w:shd w:val="clear" w:color="auto" w:fill="FFFFFF"/>
          <w:lang w:val="ro-MD"/>
        </w:rPr>
        <w:t xml:space="preserve">. </w:t>
      </w:r>
      <w:r w:rsidRPr="003A3A64">
        <w:rPr>
          <w:noProof/>
          <w:lang w:val="en-US"/>
        </w:rPr>
        <w:t>[Online] Disponibil la:</w:t>
      </w:r>
      <w:r w:rsidRPr="003A3A64">
        <w:rPr>
          <w:noProof/>
        </w:rPr>
        <w:t xml:space="preserve"> </w:t>
      </w:r>
      <w:hyperlink r:id="rId14" w:history="1">
        <w:r w:rsidRPr="003A3A64">
          <w:rPr>
            <w:rStyle w:val="a8"/>
            <w:shd w:val="clear" w:color="auto" w:fill="FFFFFF"/>
            <w:lang w:val="ro-MD"/>
          </w:rPr>
          <w:t>https://eur-lex.europa.eu/legal-content/RO/TXT/?uri=CELEX%3A32022L2464</w:t>
        </w:r>
      </w:hyperlink>
      <w:r w:rsidRPr="003A3A64">
        <w:rPr>
          <w:color w:val="333333"/>
          <w:shd w:val="clear" w:color="auto" w:fill="FFFFFF"/>
          <w:lang w:val="ro-MD"/>
        </w:rPr>
        <w:t xml:space="preserve">  </w:t>
      </w:r>
    </w:p>
    <w:p w14:paraId="54ACA7A4" w14:textId="77777777" w:rsidR="00EF50C0" w:rsidRPr="003A3A64" w:rsidRDefault="00EF50C0" w:rsidP="00EF50C0">
      <w:pPr>
        <w:pStyle w:val="aa"/>
        <w:numPr>
          <w:ilvl w:val="0"/>
          <w:numId w:val="1"/>
        </w:numPr>
        <w:tabs>
          <w:tab w:val="clear" w:pos="900"/>
        </w:tabs>
        <w:ind w:left="284"/>
        <w:jc w:val="both"/>
      </w:pPr>
      <w:r w:rsidRPr="003A3A64">
        <w:rPr>
          <w:noProof/>
        </w:rPr>
        <w:t>Directiva 2014/95/UE de modificare a Directivei 2013/34/UE în ceea ce privește publicarea de informații nefinanciare și de informații privind diversitatea de către anumite întreprinderi și grupuri mari. Jurnalul Oficial al Uniunii Europene L, nr. 330/1, 15</w:t>
      </w:r>
      <w:r w:rsidRPr="003A3A64">
        <w:t xml:space="preserve">.11.2014. </w:t>
      </w:r>
      <w:r w:rsidRPr="003A3A64">
        <w:rPr>
          <w:noProof/>
        </w:rPr>
        <w:t xml:space="preserve">[Online] Disponibil la: </w:t>
      </w:r>
      <w:hyperlink r:id="rId15" w:history="1">
        <w:r w:rsidRPr="003A3A64">
          <w:rPr>
            <w:rStyle w:val="a8"/>
          </w:rPr>
          <w:t>https://eur-lex.europa.eu/legal-content/RO/TXT/PDF/?uri=CELEX:32014L0095&amp;from=EN</w:t>
        </w:r>
      </w:hyperlink>
      <w:r w:rsidRPr="003A3A64">
        <w:t xml:space="preserve"> </w:t>
      </w:r>
    </w:p>
    <w:p w14:paraId="7EA82C32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ro-MD"/>
        </w:rPr>
        <w:t xml:space="preserve">IFRS Foundation. (2020) Consultation paper on Sustainability Reporting. </w:t>
      </w:r>
      <w:r w:rsidRPr="003A3A64">
        <w:rPr>
          <w:noProof/>
        </w:rPr>
        <w:t xml:space="preserve">[Online] Disponibil la: </w:t>
      </w:r>
      <w:hyperlink r:id="rId16" w:history="1">
        <w:r w:rsidRPr="003A3A64">
          <w:rPr>
            <w:rStyle w:val="a8"/>
            <w:noProof/>
            <w:lang w:val="ro-MD"/>
          </w:rPr>
          <w:t>https://www.ifrs.org/content/dam/ifrs/project/sustainability-reporting/consultation-paper-on-sustainability-reporting.pdf</w:t>
        </w:r>
      </w:hyperlink>
      <w:r w:rsidRPr="003A3A64">
        <w:rPr>
          <w:noProof/>
          <w:lang w:val="ro-MD"/>
        </w:rPr>
        <w:t xml:space="preserve"> </w:t>
      </w:r>
    </w:p>
    <w:p w14:paraId="14B47067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ro-MD"/>
        </w:rPr>
        <w:t>IPCC. (2014). Annex II: Glossary. Climate Change 2014: Synthesis Report. Contribution of Working Groups I, II and III to the Fifth Assessment Report of the Intergovernmental Panel on Climate Change [Core Writing Team, R.K. Pachauri and L.A. Meyer (eds.)]. IPCC, Geneva, Switzerland.</w:t>
      </w:r>
    </w:p>
    <w:p w14:paraId="6948EB2B" w14:textId="77777777" w:rsidR="00EF50C0" w:rsidRPr="003A3A64" w:rsidRDefault="00EF50C0" w:rsidP="00EF50C0">
      <w:pPr>
        <w:pStyle w:val="a6"/>
        <w:numPr>
          <w:ilvl w:val="0"/>
          <w:numId w:val="1"/>
        </w:numPr>
        <w:tabs>
          <w:tab w:val="clear" w:pos="900"/>
        </w:tabs>
        <w:spacing w:line="276" w:lineRule="auto"/>
        <w:ind w:left="284"/>
        <w:jc w:val="both"/>
        <w:rPr>
          <w:noProof/>
          <w:lang w:val="ro-MD"/>
        </w:rPr>
      </w:pPr>
      <w:r w:rsidRPr="003A3A64">
        <w:rPr>
          <w:noProof/>
          <w:lang w:val="en-US"/>
        </w:rPr>
        <w:t xml:space="preserve">GRI (Global Reporting Initiative). (2021). GRI 1: Foundation 2021. </w:t>
      </w:r>
      <w:r w:rsidRPr="003A3A64">
        <w:rPr>
          <w:noProof/>
        </w:rPr>
        <w:t xml:space="preserve">[Online] Disponibil la: </w:t>
      </w:r>
      <w:hyperlink r:id="rId17" w:tgtFrame="_blank" w:history="1">
        <w:r w:rsidRPr="003A3A64">
          <w:rPr>
            <w:rStyle w:val="a8"/>
            <w:noProof/>
          </w:rPr>
          <w:t>https://www.globalreporting.org/standards/download-the-standards/</w:t>
        </w:r>
      </w:hyperlink>
    </w:p>
    <w:p w14:paraId="2D72C2F7" w14:textId="77777777" w:rsidR="00EF50C0" w:rsidRPr="0069613F" w:rsidRDefault="00EF50C0" w:rsidP="00EF50C0">
      <w:pPr>
        <w:pStyle w:val="a4"/>
        <w:spacing w:after="0"/>
        <w:ind w:left="-76"/>
        <w:jc w:val="both"/>
        <w:rPr>
          <w:noProof/>
          <w:lang w:val="ro-MD"/>
        </w:rPr>
      </w:pPr>
    </w:p>
    <w:p w14:paraId="26AE3840" w14:textId="77777777" w:rsidR="00EF50C0" w:rsidRPr="0069613F" w:rsidRDefault="00EF50C0" w:rsidP="00EF50C0">
      <w:pPr>
        <w:pStyle w:val="a4"/>
        <w:spacing w:after="0"/>
        <w:ind w:left="-76"/>
        <w:jc w:val="both"/>
        <w:rPr>
          <w:noProof/>
          <w:lang w:val="ro-MD"/>
        </w:rPr>
      </w:pPr>
    </w:p>
    <w:p w14:paraId="04B0C3C6" w14:textId="77777777" w:rsidR="00EF50C0" w:rsidRPr="0069613F" w:rsidRDefault="00EF50C0" w:rsidP="00EF50C0">
      <w:pPr>
        <w:pStyle w:val="a4"/>
        <w:spacing w:after="0"/>
        <w:ind w:left="-76"/>
        <w:jc w:val="both"/>
        <w:rPr>
          <w:noProof/>
          <w:lang w:val="ro-MD"/>
        </w:rPr>
      </w:pPr>
    </w:p>
    <w:p w14:paraId="0C533237" w14:textId="77777777" w:rsidR="00EF50C0" w:rsidRPr="0069613F" w:rsidRDefault="00EF50C0" w:rsidP="00EF50C0">
      <w:pPr>
        <w:jc w:val="both"/>
        <w:rPr>
          <w:i/>
          <w:noProof/>
          <w:lang w:val="ro-MD"/>
        </w:rPr>
      </w:pPr>
      <w:r w:rsidRPr="0069613F">
        <w:rPr>
          <w:i/>
          <w:noProof/>
          <w:lang w:val="ro-MD"/>
        </w:rPr>
        <w:t>Suplimentară:</w:t>
      </w:r>
    </w:p>
    <w:p w14:paraId="6EBA0CB1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>Botezatu, D., „Raportarea Integrată- Sfârșit Sau Un Nou Început Pentru Raportarea Financiară?,” Audit Financiar 11, nr. 2, (2013): 23-29;</w:t>
      </w:r>
    </w:p>
    <w:p w14:paraId="7285E2A6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bookmarkStart w:id="0" w:name="_Hlk158383415"/>
      <w:r w:rsidRPr="0069613F">
        <w:rPr>
          <w:noProof/>
          <w:lang w:val="ro-MD"/>
        </w:rPr>
        <w:t>Brișcaru, A., Globalizarea etică. Responsabilitate socială corporativă, Institutul European, Iași, 2012, p. 175</w:t>
      </w:r>
      <w:bookmarkEnd w:id="0"/>
    </w:p>
    <w:p w14:paraId="1555005B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>Dima (Cristea), S., Popa, A. și Farcane, N., „Financial and Non-Financial Information in the Framework of Sustainability and Integrated Reporting,” Audit financiar, nr. 2, (2015): 21-85.</w:t>
      </w:r>
    </w:p>
    <w:p w14:paraId="78FB54E2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García-Sánchez, I.-M., Raimo, N., Marrone, A. și Vitolla, F., „How Does Integrated Reporting Change in Light of COVID-19? A Revisiting of the Content of the Integrated Reports,” Sustainability 12, nr. 18 (2020): 7605, </w:t>
      </w:r>
      <w:hyperlink r:id="rId18" w:history="1">
        <w:r w:rsidRPr="0069613F">
          <w:rPr>
            <w:rStyle w:val="a8"/>
            <w:noProof/>
            <w:lang w:val="ro-MD"/>
          </w:rPr>
          <w:t>https://doi.org/10.3390/su12187605</w:t>
        </w:r>
      </w:hyperlink>
    </w:p>
    <w:p w14:paraId="5CF45A49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García-Sánchez, I.-M. și Noguera-Gámez, L., „Integrated Information and the Cost of Capital,” International Business Review 26, nr. 5 (2017): 959-975, </w:t>
      </w:r>
      <w:hyperlink r:id="rId19" w:history="1">
        <w:r w:rsidRPr="0069613F">
          <w:rPr>
            <w:rStyle w:val="a8"/>
            <w:noProof/>
            <w:lang w:val="ro-MD"/>
          </w:rPr>
          <w:t>https://doi.org/10.1016/j.ibusrev.2017.03.004</w:t>
        </w:r>
      </w:hyperlink>
      <w:r w:rsidRPr="0069613F">
        <w:rPr>
          <w:noProof/>
          <w:lang w:val="ro-MD"/>
        </w:rPr>
        <w:t>.</w:t>
      </w:r>
    </w:p>
    <w:p w14:paraId="253889D9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Grosu, V. și Tanasă (Brînzaru), S. „Performanța Prin Prisma Raportării Integrate. O Abordarea a Cadrului Elaborat de Consiliul Internațional Pentru Raportare Integrată.”, Contabilitatea şi auditul în condiţiile globalizării: realităţi şi perspective de dezvoltare, ed. a VII-a, Chișinău, </w:t>
      </w:r>
      <w:r w:rsidRPr="0069613F">
        <w:rPr>
          <w:noProof/>
          <w:lang w:val="ro-MD"/>
        </w:rPr>
        <w:lastRenderedPageBreak/>
        <w:t xml:space="preserve">Republica Moldovă, 2018, p.162-167, </w:t>
      </w:r>
      <w:hyperlink r:id="rId20" w:history="1">
        <w:r w:rsidRPr="0069613F">
          <w:rPr>
            <w:rStyle w:val="a8"/>
            <w:noProof/>
            <w:lang w:val="ro-MD"/>
          </w:rPr>
          <w:t>https://ase.md/files/catedre/cae/conf/conf_con_20.04.18.pdf</w:t>
        </w:r>
      </w:hyperlink>
    </w:p>
    <w:p w14:paraId="050D0FD2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Grosu, V., Tanasă (Brînzaru) S.-M. și Timofte (Coca), C., „Raportarea Financiară Versus Raportarea Voluntară. O Analiză a Cadrului de Raportare în țările UE” din Culegere de articole ştiinţifice Provocările contabilităţii în viziunea tinerilor cercetători, Chișinău, Republica Moldovă: ASEM, 2017, 54-59, disponibil la adresa: </w:t>
      </w:r>
      <w:hyperlink r:id="rId21" w:history="1">
        <w:r w:rsidRPr="0069613F">
          <w:rPr>
            <w:rStyle w:val="a8"/>
            <w:noProof/>
            <w:lang w:val="ro-MD"/>
          </w:rPr>
          <w:t>http://irek.ase.md:80/xmlui/handle/1234567890/493</w:t>
        </w:r>
      </w:hyperlink>
    </w:p>
    <w:p w14:paraId="6124916D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noProof/>
          <w:lang w:val="ro-MD"/>
        </w:rPr>
      </w:pPr>
      <w:r w:rsidRPr="0069613F">
        <w:rPr>
          <w:noProof/>
          <w:lang w:val="ro-MD"/>
        </w:rPr>
        <w:t xml:space="preserve">Tanasă (Brînzaru), S.M., „Integrated Reporting - A New Management Tool in Analyzing the Performance of a Company”, din Lumen Proceedings: Vol. 13. 16th Economic International Conference NCOE 4.0 2020, Nastase, C., ed., Suceava, Romania: LUMEN Publishing House: Iași), 2020, 57-69, </w:t>
      </w:r>
      <w:hyperlink r:id="rId22" w:history="1">
        <w:r w:rsidRPr="0069613F">
          <w:rPr>
            <w:rStyle w:val="a8"/>
            <w:noProof/>
            <w:lang w:val="ro-MD"/>
          </w:rPr>
          <w:t>https://doi.org/10.18662/lumproc/ncoe4.0.2020/06</w:t>
        </w:r>
      </w:hyperlink>
      <w:r w:rsidRPr="0069613F">
        <w:rPr>
          <w:noProof/>
          <w:lang w:val="ro-MD"/>
        </w:rPr>
        <w:t>.</w:t>
      </w:r>
    </w:p>
    <w:p w14:paraId="52EBEDE5" w14:textId="77777777" w:rsidR="00EF50C0" w:rsidRPr="0069613F" w:rsidRDefault="00EF50C0" w:rsidP="00EF50C0">
      <w:pPr>
        <w:pStyle w:val="a6"/>
        <w:numPr>
          <w:ilvl w:val="0"/>
          <w:numId w:val="2"/>
        </w:numPr>
        <w:ind w:left="426"/>
        <w:jc w:val="both"/>
        <w:rPr>
          <w:rStyle w:val="a8"/>
          <w:noProof/>
          <w:lang w:val="ro-MD"/>
        </w:rPr>
      </w:pPr>
      <w:r w:rsidRPr="0069613F">
        <w:rPr>
          <w:noProof/>
          <w:lang w:val="ro-MD"/>
        </w:rPr>
        <w:t xml:space="preserve">Baza de date IIRC: </w:t>
      </w:r>
      <w:hyperlink r:id="rId23" w:history="1">
        <w:r w:rsidRPr="0069613F">
          <w:rPr>
            <w:rStyle w:val="a8"/>
            <w:noProof/>
            <w:lang w:val="ro-MD"/>
          </w:rPr>
          <w:t>http://examples.integratedreporting.org/home</w:t>
        </w:r>
      </w:hyperlink>
    </w:p>
    <w:p w14:paraId="4012483A" w14:textId="77777777" w:rsidR="00EF50C0" w:rsidRPr="0069613F" w:rsidRDefault="00EF50C0" w:rsidP="00EF50C0">
      <w:pPr>
        <w:jc w:val="both"/>
        <w:rPr>
          <w:noProof/>
          <w:lang w:val="ro-MD"/>
        </w:rPr>
      </w:pPr>
    </w:p>
    <w:p w14:paraId="1869B157" w14:textId="77777777" w:rsidR="00EF50C0" w:rsidRPr="0069613F" w:rsidRDefault="00EF50C0" w:rsidP="00EF50C0">
      <w:pPr>
        <w:jc w:val="both"/>
        <w:rPr>
          <w:i/>
          <w:noProof/>
          <w:lang w:val="ro-MD"/>
        </w:rPr>
      </w:pPr>
    </w:p>
    <w:p w14:paraId="43218DB7" w14:textId="77777777" w:rsidR="00896E3F" w:rsidRPr="00EF50C0" w:rsidRDefault="00896E3F" w:rsidP="00EF50C0">
      <w:pPr>
        <w:rPr>
          <w:lang w:val="ro-MD"/>
        </w:rPr>
      </w:pPr>
    </w:p>
    <w:sectPr w:rsidR="00896E3F" w:rsidRPr="00EF50C0" w:rsidSect="005A7C3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770"/>
    <w:multiLevelType w:val="hybridMultilevel"/>
    <w:tmpl w:val="21784D4A"/>
    <w:lvl w:ilvl="0" w:tplc="766EF1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39E0"/>
    <w:multiLevelType w:val="hybridMultilevel"/>
    <w:tmpl w:val="8C2ABB90"/>
    <w:lvl w:ilvl="0" w:tplc="E348BF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49166775">
    <w:abstractNumId w:val="1"/>
  </w:num>
  <w:num w:numId="2" w16cid:durableId="201518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B1"/>
    <w:rsid w:val="000E1F35"/>
    <w:rsid w:val="00451EB1"/>
    <w:rsid w:val="005A7C37"/>
    <w:rsid w:val="00896E3F"/>
    <w:rsid w:val="00B36D1E"/>
    <w:rsid w:val="00E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A34DF-5888-4640-BC75-B172AB32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6D1E"/>
    <w:rPr>
      <w:b/>
      <w:bCs/>
    </w:rPr>
  </w:style>
  <w:style w:type="paragraph" w:styleId="a4">
    <w:name w:val="Body Text Indent"/>
    <w:basedOn w:val="a"/>
    <w:link w:val="a5"/>
    <w:uiPriority w:val="99"/>
    <w:rsid w:val="00B36D1E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B36D1E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6">
    <w:name w:val="List Paragraph"/>
    <w:aliases w:val="List Paragraph 1"/>
    <w:basedOn w:val="a"/>
    <w:link w:val="a7"/>
    <w:uiPriority w:val="34"/>
    <w:qFormat/>
    <w:rsid w:val="00B36D1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6D1E"/>
    <w:rPr>
      <w:color w:val="0563C1" w:themeColor="hyperlink"/>
      <w:u w:val="single"/>
    </w:rPr>
  </w:style>
  <w:style w:type="character" w:customStyle="1" w:styleId="a7">
    <w:name w:val="Абзац списка Знак"/>
    <w:aliases w:val="List Paragraph 1 Знак"/>
    <w:link w:val="a6"/>
    <w:uiPriority w:val="34"/>
    <w:locked/>
    <w:rsid w:val="00B36D1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9">
    <w:name w:val="FollowedHyperlink"/>
    <w:basedOn w:val="a0"/>
    <w:uiPriority w:val="99"/>
    <w:semiHidden/>
    <w:unhideWhenUsed/>
    <w:rsid w:val="00B36D1E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EF50C0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?uri=celex%3A32014L0095" TargetMode="External"/><Relationship Id="rId13" Type="http://schemas.openxmlformats.org/officeDocument/2006/relationships/hyperlink" Target="https://eur-lex.europa.eu/eli/dir/2025/794/oj" TargetMode="External"/><Relationship Id="rId18" Type="http://schemas.openxmlformats.org/officeDocument/2006/relationships/hyperlink" Target="https://doi.org/10.3390/su121876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ek.ase.md:80/xmlui/handle/1234567890/493" TargetMode="External"/><Relationship Id="rId7" Type="http://schemas.openxmlformats.org/officeDocument/2006/relationships/hyperlink" Target="http://eur-lex.europa.eu/legal-content/RO/TXT/HTML/?uri=CELEX:32013L0034&amp;qid=1403606060234&amp;from=RO" TargetMode="External"/><Relationship Id="rId12" Type="http://schemas.openxmlformats.org/officeDocument/2006/relationships/hyperlink" Target="https://eur-lex.europa.eu/legal-content/RO/TXT/PDF/?uri=CELEX:52025PC0081" TargetMode="External"/><Relationship Id="rId17" Type="http://schemas.openxmlformats.org/officeDocument/2006/relationships/hyperlink" Target="https://www.globalreporting.org/standards/download-the-standard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frs.org/content/dam/ifrs/project/sustainability-reporting/consultation-paper-on-sustainability-reporting.pdf" TargetMode="External"/><Relationship Id="rId20" Type="http://schemas.openxmlformats.org/officeDocument/2006/relationships/hyperlink" Target="https://ase.md/files/catedre/cae/conf/conf_con_20.04.1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ccar.ro/ro/wp-content/uploads/2021/09/3103_IIRC_framework_doc_8a-RO-FINAL.pdf" TargetMode="External"/><Relationship Id="rId11" Type="http://schemas.openxmlformats.org/officeDocument/2006/relationships/hyperlink" Target="https://eur-lex.europa.eu/legal-content/RO/TXT/PDF/?uri=OJ:L_20250141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eccar.ro/ro/wp-content/uploads/2021/09/3103_IIRC_framework_doc_8a-RO-FINAL.pdf" TargetMode="External"/><Relationship Id="rId15" Type="http://schemas.openxmlformats.org/officeDocument/2006/relationships/hyperlink" Target="https://eur-lex.europa.eu/legal-content/RO/TXT/PDF/?uri=CELEX:32014L0095&amp;from=EN" TargetMode="External"/><Relationship Id="rId23" Type="http://schemas.openxmlformats.org/officeDocument/2006/relationships/hyperlink" Target="http://examples.integratedreporting.org/home" TargetMode="External"/><Relationship Id="rId10" Type="http://schemas.openxmlformats.org/officeDocument/2006/relationships/hyperlink" Target="https://eur-lex.europa.eu/legal-content/RO/TXT/HTML/?uri=CELEX:02023R2772-20231222" TargetMode="External"/><Relationship Id="rId19" Type="http://schemas.openxmlformats.org/officeDocument/2006/relationships/hyperlink" Target="https://doi.org/10.1016/j.ibusrev.2017.03.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RO/TXT/?uri=CELEX%3A32022L2464" TargetMode="External"/><Relationship Id="rId14" Type="http://schemas.openxmlformats.org/officeDocument/2006/relationships/hyperlink" Target="https://eur-lex.europa.eu/legal-content/RO/TXT/?uri=CELEX%3A32022L2464" TargetMode="External"/><Relationship Id="rId22" Type="http://schemas.openxmlformats.org/officeDocument/2006/relationships/hyperlink" Target="https://doi.org/10.18662/lumproc/ncoe4.0.2020/0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Lusmanschi</dc:creator>
  <cp:keywords/>
  <dc:description/>
  <cp:lastModifiedBy>Galina Lusmanschi</cp:lastModifiedBy>
  <cp:revision>3</cp:revision>
  <dcterms:created xsi:type="dcterms:W3CDTF">2024-02-12T13:12:00Z</dcterms:created>
  <dcterms:modified xsi:type="dcterms:W3CDTF">2026-02-06T12:46:00Z</dcterms:modified>
</cp:coreProperties>
</file>