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8FC" w:rsidRPr="009748FC" w:rsidRDefault="009748FC" w:rsidP="009748FC">
      <w:pPr>
        <w:shd w:val="clear" w:color="auto" w:fill="FFFFFF"/>
        <w:spacing w:after="0" w:line="240" w:lineRule="auto"/>
        <w:rPr>
          <w:rFonts w:ascii="Open Sans" w:eastAsia="Times New Roman" w:hAnsi="Open Sans" w:cs="Open Sans"/>
          <w:color w:val="666666"/>
          <w:lang w:eastAsia="ro-RO"/>
        </w:rPr>
      </w:pPr>
      <w:r w:rsidRPr="009748FC">
        <w:rPr>
          <w:rFonts w:ascii="Open Sans" w:eastAsia="Times New Roman" w:hAnsi="Open Sans" w:cs="Open Sans"/>
          <w:color w:val="666666"/>
          <w:lang w:eastAsia="ro-RO"/>
        </w:rPr>
        <w:t>Expertiza proiectelor de acte normative prin prisma drepturilor omului este desfăşurată de CAPC în cadrul Proiectului „Armonizarea legislaţiei la standardele internaţionale în domeniul drepturilor omului”, susţinut financiar de Apărătorii Drepturilor Civile din Suedia.</w:t>
      </w:r>
      <w:r w:rsidRPr="009748FC">
        <w:rPr>
          <w:rFonts w:ascii="Open Sans" w:eastAsia="Times New Roman" w:hAnsi="Open Sans" w:cs="Open Sans"/>
          <w:color w:val="666666"/>
          <w:lang w:eastAsia="ro-RO"/>
        </w:rPr>
        <w:br/>
      </w:r>
    </w:p>
    <w:p w:rsidR="009748FC" w:rsidRPr="009748FC" w:rsidRDefault="009748FC" w:rsidP="009748FC">
      <w:pPr>
        <w:spacing w:after="0" w:line="240" w:lineRule="auto"/>
        <w:rPr>
          <w:rFonts w:ascii="Times New Roman" w:eastAsia="Times New Roman" w:hAnsi="Times New Roman" w:cs="Times New Roman"/>
          <w:lang w:eastAsia="ro-RO"/>
        </w:rPr>
      </w:pPr>
      <w:r w:rsidRPr="009748FC">
        <w:rPr>
          <w:rFonts w:ascii="Open Sans" w:eastAsia="Times New Roman" w:hAnsi="Open Sans" w:cs="Open Sans"/>
          <w:color w:val="666666"/>
          <w:shd w:val="clear" w:color="auto" w:fill="FFFFFF"/>
          <w:lang w:eastAsia="ro-RO"/>
        </w:rPr>
        <w:t>13 Noiembrie 2013</w:t>
      </w:r>
    </w:p>
    <w:p w:rsidR="009748FC" w:rsidRDefault="00EE5FFB" w:rsidP="009748FC">
      <w:pPr>
        <w:shd w:val="clear" w:color="auto" w:fill="FFFFFF"/>
        <w:spacing w:after="0" w:line="240" w:lineRule="auto"/>
        <w:rPr>
          <w:rFonts w:ascii="Open Sans" w:eastAsia="Times New Roman" w:hAnsi="Open Sans" w:cs="Open Sans"/>
          <w:color w:val="000000"/>
          <w:lang w:eastAsia="ro-RO"/>
        </w:rPr>
      </w:pPr>
      <w:hyperlink r:id="rId5" w:history="1">
        <w:r w:rsidR="009748FC" w:rsidRPr="008354D9">
          <w:rPr>
            <w:rStyle w:val="Hyperlink"/>
            <w:rFonts w:ascii="Open Sans" w:eastAsia="Times New Roman" w:hAnsi="Open Sans" w:cs="Open Sans"/>
            <w:lang w:eastAsia="ro-RO"/>
          </w:rPr>
          <w:t>http://capc.md/ro/expertise/avizel/nr-586.html</w:t>
        </w:r>
      </w:hyperlink>
    </w:p>
    <w:p w:rsidR="009748FC" w:rsidRPr="009748FC" w:rsidRDefault="009748FC" w:rsidP="009748FC">
      <w:pPr>
        <w:shd w:val="clear" w:color="auto" w:fill="FFFFFF"/>
        <w:spacing w:after="0" w:line="240" w:lineRule="auto"/>
        <w:rPr>
          <w:rFonts w:ascii="Open Sans" w:eastAsia="Times New Roman" w:hAnsi="Open Sans" w:cs="Open Sans"/>
          <w:color w:val="000000"/>
          <w:lang w:eastAsia="ro-RO"/>
        </w:rPr>
      </w:pPr>
    </w:p>
    <w:tbl>
      <w:tblPr>
        <w:tblW w:w="0" w:type="auto"/>
        <w:jc w:val="center"/>
        <w:tblCellMar>
          <w:left w:w="0" w:type="dxa"/>
          <w:right w:w="0" w:type="dxa"/>
        </w:tblCellMar>
        <w:tblLook w:val="04A0" w:firstRow="1" w:lastRow="0" w:firstColumn="1" w:lastColumn="0" w:noHBand="0" w:noVBand="1"/>
      </w:tblPr>
      <w:tblGrid>
        <w:gridCol w:w="9072"/>
      </w:tblGrid>
      <w:tr w:rsidR="009748FC" w:rsidRPr="009748FC" w:rsidTr="009748FC">
        <w:trPr>
          <w:jc w:val="center"/>
        </w:trPr>
        <w:tc>
          <w:tcPr>
            <w:tcW w:w="0" w:type="auto"/>
            <w:shd w:val="clear" w:color="auto" w:fill="auto"/>
            <w:vAlign w:val="center"/>
            <w:hideMark/>
          </w:tcPr>
          <w:p w:rsidR="009748FC" w:rsidRPr="009748FC" w:rsidRDefault="009748FC" w:rsidP="009748FC">
            <w:pPr>
              <w:spacing w:after="0" w:line="240" w:lineRule="auto"/>
              <w:jc w:val="right"/>
              <w:rPr>
                <w:rFonts w:ascii="Times New Roman" w:eastAsia="Times New Roman" w:hAnsi="Times New Roman" w:cs="Times New Roman"/>
                <w:lang w:eastAsia="ro-RO"/>
              </w:rPr>
            </w:pPr>
          </w:p>
        </w:tc>
      </w:tr>
      <w:tr w:rsidR="009748FC" w:rsidRPr="009748FC" w:rsidTr="009748FC">
        <w:trPr>
          <w:jc w:val="center"/>
        </w:trPr>
        <w:tc>
          <w:tcPr>
            <w:tcW w:w="0" w:type="auto"/>
            <w:shd w:val="clear" w:color="auto" w:fill="auto"/>
            <w:vAlign w:val="center"/>
            <w:hideMark/>
          </w:tcPr>
          <w:p w:rsidR="009748FC" w:rsidRPr="009748FC" w:rsidRDefault="009748FC" w:rsidP="009748FC">
            <w:pPr>
              <w:spacing w:before="300" w:after="90" w:line="580" w:lineRule="atLeast"/>
              <w:jc w:val="center"/>
              <w:outlineLvl w:val="0"/>
              <w:rPr>
                <w:rFonts w:ascii="inherit" w:eastAsia="Times New Roman" w:hAnsi="inherit" w:cs="Times New Roman"/>
                <w:color w:val="EF7A00"/>
                <w:kern w:val="36"/>
                <w:lang w:eastAsia="ro-RO"/>
              </w:rPr>
            </w:pPr>
            <w:r w:rsidRPr="009748FC">
              <w:rPr>
                <w:rFonts w:ascii="inherit" w:eastAsia="Times New Roman" w:hAnsi="inherit" w:cs="Times New Roman"/>
                <w:color w:val="EF7A00"/>
                <w:kern w:val="36"/>
                <w:lang w:eastAsia="ro-RO"/>
              </w:rPr>
              <w:t>RAPORT DE EXPERTIZĂ</w:t>
            </w:r>
          </w:p>
          <w:p w:rsidR="009748FC" w:rsidRPr="009748FC" w:rsidRDefault="009748FC" w:rsidP="009748FC">
            <w:pPr>
              <w:spacing w:before="300" w:after="90" w:line="428" w:lineRule="atLeast"/>
              <w:jc w:val="center"/>
              <w:outlineLvl w:val="2"/>
              <w:rPr>
                <w:rFonts w:ascii="inherit" w:eastAsia="Times New Roman" w:hAnsi="inherit" w:cs="Times New Roman"/>
                <w:color w:val="EF7A00"/>
                <w:lang w:eastAsia="ro-RO"/>
              </w:rPr>
            </w:pPr>
            <w:r w:rsidRPr="009748FC">
              <w:rPr>
                <w:rFonts w:ascii="inherit" w:eastAsia="Times New Roman" w:hAnsi="inherit" w:cs="Times New Roman"/>
                <w:color w:val="EF7A00"/>
                <w:lang w:eastAsia="ro-RO"/>
              </w:rPr>
              <w:t>la proiectul Legii privind Codul de etică și conduită a deputatului în Parlament</w:t>
            </w:r>
          </w:p>
          <w:p w:rsidR="009748FC" w:rsidRPr="009748FC" w:rsidRDefault="009748FC" w:rsidP="009748FC">
            <w:pPr>
              <w:spacing w:after="150" w:line="240" w:lineRule="auto"/>
              <w:jc w:val="center"/>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(înregistrat în Parlament cu numărul 233 din 06 Iunie 2013)</w:t>
            </w:r>
          </w:p>
          <w:p w:rsidR="009748FC" w:rsidRPr="009748FC" w:rsidRDefault="009748FC" w:rsidP="009748FC">
            <w:pPr>
              <w:spacing w:after="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br/>
            </w:r>
          </w:p>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În temeiul Concepţiei de cooperare dintre Parlament şi societatea civilă, aprobată prin Hotărîrea Parlamentului nr.373-XVI din 29 decembrie 2005, Centrul de Analiză şi Prevenire a Corupţiei prezintă raportul de expertiză a vulnerabilității proiectului Legii privind Codul de etică și conduită a deputatului în Parlament prin prisma drepturilor omului.</w:t>
            </w:r>
          </w:p>
          <w:p w:rsidR="009748FC" w:rsidRPr="009748FC" w:rsidRDefault="009748FC" w:rsidP="009748FC">
            <w:pPr>
              <w:spacing w:after="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br/>
            </w:r>
            <w:r w:rsidRPr="009748FC">
              <w:rPr>
                <w:rFonts w:ascii="Times New Roman" w:eastAsia="Times New Roman" w:hAnsi="Times New Roman" w:cs="Times New Roman"/>
                <w:lang w:eastAsia="ro-RO"/>
              </w:rPr>
              <w:br/>
            </w:r>
          </w:p>
          <w:p w:rsidR="009748FC" w:rsidRPr="009748FC" w:rsidRDefault="009748FC" w:rsidP="009748FC">
            <w:pPr>
              <w:spacing w:before="300" w:after="90" w:line="504" w:lineRule="atLeast"/>
              <w:outlineLvl w:val="1"/>
              <w:rPr>
                <w:rFonts w:ascii="inherit" w:eastAsia="Times New Roman" w:hAnsi="inherit" w:cs="Times New Roman"/>
                <w:color w:val="EF7A00"/>
                <w:lang w:eastAsia="ro-RO"/>
              </w:rPr>
            </w:pPr>
            <w:r w:rsidRPr="009748FC">
              <w:rPr>
                <w:rFonts w:ascii="inherit" w:eastAsia="Times New Roman" w:hAnsi="inherit" w:cs="Times New Roman"/>
                <w:color w:val="EF7A00"/>
                <w:lang w:eastAsia="ro-RO"/>
              </w:rPr>
              <w:t>Evaluarea generală</w:t>
            </w:r>
          </w:p>
          <w:p w:rsidR="009748FC" w:rsidRPr="009748FC" w:rsidRDefault="009748FC" w:rsidP="009748FC">
            <w:pPr>
              <w:spacing w:after="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br/>
            </w:r>
          </w:p>
          <w:p w:rsidR="009748FC" w:rsidRPr="009748FC" w:rsidRDefault="009748FC" w:rsidP="009748FC">
            <w:pPr>
              <w:spacing w:after="0" w:line="240" w:lineRule="auto"/>
              <w:rPr>
                <w:rFonts w:ascii="Times New Roman" w:eastAsia="Times New Roman" w:hAnsi="Times New Roman" w:cs="Times New Roman"/>
                <w:lang w:eastAsia="ro-RO"/>
              </w:rPr>
            </w:pPr>
            <w:r w:rsidRPr="009748FC">
              <w:rPr>
                <w:rFonts w:ascii="inherit" w:eastAsia="Times New Roman" w:hAnsi="inherit" w:cs="Times New Roman"/>
                <w:lang w:eastAsia="ro-RO"/>
              </w:rPr>
              <w:t>1. Autorul proiectului </w:t>
            </w:r>
            <w:r w:rsidRPr="009748FC">
              <w:rPr>
                <w:rFonts w:ascii="Times New Roman" w:eastAsia="Times New Roman" w:hAnsi="Times New Roman" w:cs="Times New Roman"/>
                <w:lang w:eastAsia="ro-RO"/>
              </w:rPr>
              <w:t>este un grup de deputaţi în Parlament, ceea ce nu corespunde art. 73 din Constituţie şi art. 44 din Regulamentul Parlamentului.</w:t>
            </w:r>
          </w:p>
          <w:p w:rsidR="009748FC" w:rsidRPr="009748FC" w:rsidRDefault="009748FC" w:rsidP="009748FC">
            <w:pPr>
              <w:spacing w:after="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br/>
            </w:r>
          </w:p>
          <w:p w:rsidR="009748FC" w:rsidRPr="009748FC" w:rsidRDefault="009748FC" w:rsidP="009748FC">
            <w:pPr>
              <w:spacing w:after="0" w:line="240" w:lineRule="auto"/>
              <w:rPr>
                <w:rFonts w:ascii="Times New Roman" w:eastAsia="Times New Roman" w:hAnsi="Times New Roman" w:cs="Times New Roman"/>
                <w:lang w:eastAsia="ro-RO"/>
              </w:rPr>
            </w:pPr>
            <w:r w:rsidRPr="009748FC">
              <w:rPr>
                <w:rFonts w:ascii="inherit" w:eastAsia="Times New Roman" w:hAnsi="inherit" w:cs="Times New Roman"/>
                <w:lang w:eastAsia="ro-RO"/>
              </w:rPr>
              <w:t>2. Categoria actului legislativ</w:t>
            </w:r>
            <w:r w:rsidRPr="009748FC">
              <w:rPr>
                <w:rFonts w:ascii="Times New Roman" w:eastAsia="Times New Roman" w:hAnsi="Times New Roman" w:cs="Times New Roman"/>
                <w:lang w:eastAsia="ro-RO"/>
              </w:rPr>
              <w:t> propus este lege ordinară, ceea ce nu corespunde art.72 din Constituţie şi art. 6-11, 27, 35 şi 39 din Legea privind actele legislative, nr.780-XV din 27.12.2001. </w:t>
            </w:r>
            <w:r w:rsidRPr="009748FC">
              <w:rPr>
                <w:rFonts w:ascii="Times New Roman" w:eastAsia="Times New Roman" w:hAnsi="Times New Roman" w:cs="Times New Roman"/>
                <w:lang w:eastAsia="ro-RO"/>
              </w:rPr>
              <w:br/>
              <w:t>În conformitate cu art. 72 alin. (3) lit. p) din Constituţia RM, prin lege organică se reglementează celelalte domenii pentru care, în Constituţie, se prevede adoptarea de legi organice. În acelaşi sens sînt şi exigenţele Legii nr. 780-XV din 27.12.2001 privind actele legislative. </w:t>
            </w:r>
            <w:r w:rsidRPr="009748FC">
              <w:rPr>
                <w:rFonts w:ascii="Times New Roman" w:eastAsia="Times New Roman" w:hAnsi="Times New Roman" w:cs="Times New Roman"/>
                <w:lang w:eastAsia="ro-RO"/>
              </w:rPr>
              <w:br/>
            </w:r>
            <w:r w:rsidRPr="009748FC">
              <w:rPr>
                <w:rFonts w:ascii="Times New Roman" w:eastAsia="Times New Roman" w:hAnsi="Times New Roman" w:cs="Times New Roman"/>
                <w:lang w:eastAsia="ro-RO"/>
              </w:rPr>
              <w:br/>
              <w:t>Pornind de la prevederile art. 41 alin. (7) din Constituţia RM, care prescriu că funcţiile publice ai căror titulari nu pot face parte din partide se stabilesc prin lege organică, proiectul ar trebui să fie un proiect de lege organică. Or, proiectul, în virtutea art. 22 alin. (1) alin. c) din proiect, interzice Comisarului pentru etică să facă parte din partide şi din alte organizaţii social-politice. Trebuie să recunoaştem că proiectul nu clarifică statutul Comisarului pentru etică. Însă, pornind de la prevederile art. 20 alin. (4) din proiect, care prevede că demiterea acestuia trebuie să fi precedată de o anchetă de serviciu efectuată conform Legii nr. 158 din 04.07.2008 cu privire la funcţia publică şi statutul funcţionarului public, intuim că funcţia de Comisar pentru etică va fi funcţie publică.</w:t>
            </w:r>
          </w:p>
          <w:p w:rsidR="009748FC" w:rsidRPr="009748FC" w:rsidRDefault="009748FC" w:rsidP="009748FC">
            <w:pPr>
              <w:spacing w:after="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br/>
            </w:r>
          </w:p>
          <w:p w:rsidR="009748FC" w:rsidRPr="009748FC" w:rsidRDefault="009748FC" w:rsidP="009748FC">
            <w:pPr>
              <w:spacing w:after="0" w:line="240" w:lineRule="auto"/>
              <w:rPr>
                <w:rFonts w:ascii="Times New Roman" w:eastAsia="Times New Roman" w:hAnsi="Times New Roman" w:cs="Times New Roman"/>
                <w:lang w:eastAsia="ro-RO"/>
              </w:rPr>
            </w:pPr>
            <w:r w:rsidRPr="009748FC">
              <w:rPr>
                <w:rFonts w:ascii="inherit" w:eastAsia="Times New Roman" w:hAnsi="inherit" w:cs="Times New Roman"/>
                <w:lang w:eastAsia="ro-RO"/>
              </w:rPr>
              <w:t>3. Scopul actului (potrivit proiectului și/sau notei informative).</w:t>
            </w:r>
            <w:r w:rsidRPr="009748FC">
              <w:rPr>
                <w:rFonts w:ascii="Times New Roman" w:eastAsia="Times New Roman" w:hAnsi="Times New Roman" w:cs="Times New Roman"/>
                <w:lang w:eastAsia="ro-RO"/>
              </w:rPr>
              <w:t xml:space="preserve"> Reieşind din preambul, prin proiect se </w:t>
            </w:r>
            <w:r w:rsidRPr="009748FC">
              <w:rPr>
                <w:rFonts w:ascii="Times New Roman" w:eastAsia="Times New Roman" w:hAnsi="Times New Roman" w:cs="Times New Roman"/>
                <w:lang w:eastAsia="ro-RO"/>
              </w:rPr>
              <w:lastRenderedPageBreak/>
              <w:t>urmăreşte menţinerea încrederii în legislativul ţării, prin exercitarea atribuţiilor parlamentare cu onestitate, integritate şi respectarea legii, exclusiv pentru binele poporului Republicii Moldova. </w:t>
            </w:r>
            <w:r w:rsidRPr="009748FC">
              <w:rPr>
                <w:rFonts w:ascii="Times New Roman" w:eastAsia="Times New Roman" w:hAnsi="Times New Roman" w:cs="Times New Roman"/>
                <w:lang w:eastAsia="ro-RO"/>
              </w:rPr>
              <w:br/>
            </w:r>
            <w:r w:rsidRPr="009748FC">
              <w:rPr>
                <w:rFonts w:ascii="Times New Roman" w:eastAsia="Times New Roman" w:hAnsi="Times New Roman" w:cs="Times New Roman"/>
                <w:lang w:eastAsia="ro-RO"/>
              </w:rPr>
              <w:br/>
              <w:t>Scopul proiectului este concretizat şi în nota informativă. Astfel, potrivit autorului, scopul proiectului constă în stabilirea, la nivel legislativ, a normelor de conduită a membrilor legislativului în exercitarea funcţiei de demnitate publică şi îndeplinirea atribuţiilor parlamentare, precum şi pentru asigurarea unei deschideri şi responsabilizări mai mari în vederea consolidării încrederii societăţii în modul în care deputaţii îşi îndeplinesc atribuţiile parlamentare.</w:t>
            </w:r>
            <w:r w:rsidRPr="009748FC">
              <w:rPr>
                <w:rFonts w:ascii="Times New Roman" w:eastAsia="Times New Roman" w:hAnsi="Times New Roman" w:cs="Times New Roman"/>
                <w:lang w:eastAsia="ro-RO"/>
              </w:rPr>
              <w:br/>
            </w:r>
            <w:r w:rsidRPr="009748FC">
              <w:rPr>
                <w:rFonts w:ascii="Times New Roman" w:eastAsia="Times New Roman" w:hAnsi="Times New Roman" w:cs="Times New Roman"/>
                <w:lang w:eastAsia="ro-RO"/>
              </w:rPr>
              <w:br/>
              <w:t>Totodată, potrivit autorului:</w:t>
            </w:r>
            <w:r w:rsidRPr="009748FC">
              <w:rPr>
                <w:rFonts w:ascii="Times New Roman" w:eastAsia="Times New Roman" w:hAnsi="Times New Roman" w:cs="Times New Roman"/>
                <w:lang w:eastAsia="ro-RO"/>
              </w:rPr>
              <w:br/>
              <w:t xml:space="preserve">1) Codul va </w:t>
            </w:r>
            <w:r w:rsidRPr="004B5D4D">
              <w:rPr>
                <w:rFonts w:ascii="Times New Roman" w:eastAsia="Times New Roman" w:hAnsi="Times New Roman" w:cs="Times New Roman"/>
                <w:b/>
                <w:highlight w:val="yellow"/>
                <w:lang w:eastAsia="ro-RO"/>
              </w:rPr>
              <w:t>stabili reguli clare de conduită profesională a membrilor legislativului, în afară de cele stabilite în Regulamentul Parlamentului, care se limitează la reglementarea conduitei doar în şedinţele plenare şi comisii;</w:t>
            </w:r>
            <w:r w:rsidRPr="004B5D4D">
              <w:rPr>
                <w:rFonts w:ascii="Times New Roman" w:eastAsia="Times New Roman" w:hAnsi="Times New Roman" w:cs="Times New Roman"/>
                <w:b/>
                <w:lang w:eastAsia="ro-RO"/>
              </w:rPr>
              <w:br/>
            </w:r>
            <w:r w:rsidRPr="009748FC">
              <w:rPr>
                <w:rFonts w:ascii="Times New Roman" w:eastAsia="Times New Roman" w:hAnsi="Times New Roman" w:cs="Times New Roman"/>
                <w:lang w:eastAsia="ro-RO"/>
              </w:rPr>
              <w:t>2) Codul va spori încrederea societăţii în legislativul ţării şi reprezentanţii poporului în acest For, prin satisfacerea aşteptărilor societăţii în vederea unei deschideri mai mari a deputaţilor privind modul în care aceştia îşi îndeplinesc atribuţiile parlamentare;</w:t>
            </w:r>
            <w:r w:rsidRPr="009748FC">
              <w:rPr>
                <w:rFonts w:ascii="Times New Roman" w:eastAsia="Times New Roman" w:hAnsi="Times New Roman" w:cs="Times New Roman"/>
                <w:lang w:eastAsia="ro-RO"/>
              </w:rPr>
              <w:br/>
              <w:t>3) Codurile de conduită a deputaţilor sînt larg utilizate în multe state, în primul rînd în statele cu o cultură juridică înaltă. Adoptarea acestui proiect va servi drept o dovadă convingătoare, precum şi un pas important, în vederea consolidării statului de drept al Republicii Moldova. </w:t>
            </w:r>
            <w:r w:rsidRPr="009748FC">
              <w:rPr>
                <w:rFonts w:ascii="Times New Roman" w:eastAsia="Times New Roman" w:hAnsi="Times New Roman" w:cs="Times New Roman"/>
                <w:lang w:eastAsia="ro-RO"/>
              </w:rPr>
              <w:br/>
            </w:r>
            <w:r w:rsidRPr="009748FC">
              <w:rPr>
                <w:rFonts w:ascii="Times New Roman" w:eastAsia="Times New Roman" w:hAnsi="Times New Roman" w:cs="Times New Roman"/>
                <w:lang w:eastAsia="ro-RO"/>
              </w:rPr>
              <w:br/>
              <w:t>Recunoaştem necesitatea dezvoltării normelor de drept existente în partea ce ţine de etica deputatului. Ne referim, în mod special, şi la necesitatea clarificării normelor ce vizează soluţionarea conflictelor de interese. Referitor la cele din urmă, constatăm că proiectul nu dă mai multă aplicabilitate şi eficienţă cadrului legal naţional. Obiecţiile şi recomandările în acest sens se conţin în compartimentul Analiza detaliată a textului proiectului.</w:t>
            </w:r>
          </w:p>
          <w:p w:rsidR="009748FC" w:rsidRPr="009748FC" w:rsidRDefault="009748FC" w:rsidP="009748FC">
            <w:pPr>
              <w:spacing w:after="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br/>
            </w:r>
          </w:p>
          <w:p w:rsidR="009748FC" w:rsidRPr="009748FC" w:rsidRDefault="009748FC" w:rsidP="009748FC">
            <w:pPr>
              <w:spacing w:after="0" w:line="240" w:lineRule="auto"/>
              <w:rPr>
                <w:rFonts w:ascii="Times New Roman" w:eastAsia="Times New Roman" w:hAnsi="Times New Roman" w:cs="Times New Roman"/>
                <w:lang w:eastAsia="ro-RO"/>
              </w:rPr>
            </w:pPr>
            <w:r w:rsidRPr="009748FC">
              <w:rPr>
                <w:rFonts w:ascii="inherit" w:eastAsia="Times New Roman" w:hAnsi="inherit" w:cs="Times New Roman"/>
                <w:lang w:eastAsia="ro-RO"/>
              </w:rPr>
              <w:t>4. Nota informativă</w:t>
            </w:r>
            <w:r w:rsidRPr="009748FC">
              <w:rPr>
                <w:rFonts w:ascii="Times New Roman" w:eastAsia="Times New Roman" w:hAnsi="Times New Roman" w:cs="Times New Roman"/>
                <w:lang w:eastAsia="ro-RO"/>
              </w:rPr>
              <w:t> a proiectului de act legislativ supus expertizei nu conține o argumentare suficientă a promovării proiectului. Potrivit art. 20 din Legea nr. 780 din 27.12.2001 privind actele legislative, nota informativă trebuie să includă: </w:t>
            </w:r>
            <w:r w:rsidRPr="009748FC">
              <w:rPr>
                <w:rFonts w:ascii="Times New Roman" w:eastAsia="Times New Roman" w:hAnsi="Times New Roman" w:cs="Times New Roman"/>
                <w:lang w:eastAsia="ro-RO"/>
              </w:rPr>
              <w:br/>
              <w:t>a) condiţiile ce au impus elaborarea proiectului, inclusiv necesitatea armonizării actului legislativ cu reglementările legislaţiei comunitare, finalităţile urmărite prin implementarea noilor reglementări;</w:t>
            </w:r>
            <w:r w:rsidRPr="009748FC">
              <w:rPr>
                <w:rFonts w:ascii="Times New Roman" w:eastAsia="Times New Roman" w:hAnsi="Times New Roman" w:cs="Times New Roman"/>
                <w:lang w:eastAsia="ro-RO"/>
              </w:rPr>
              <w:br/>
              <w:t>b) principalele prevederi, locul actului în sistemul legislaţiei, evidenţierea elementelor noi, efectul social, economic şi de altă natură al realizării lui;</w:t>
            </w:r>
            <w:r w:rsidRPr="009748FC">
              <w:rPr>
                <w:rFonts w:ascii="Times New Roman" w:eastAsia="Times New Roman" w:hAnsi="Times New Roman" w:cs="Times New Roman"/>
                <w:lang w:eastAsia="ro-RO"/>
              </w:rPr>
              <w:br/>
              <w:t>c) referinţe la reglementările corespondente ale legislaţiei comunitare şi nivelul compatibilităţii proiectului de act legislativ cu reglementările în cauză;</w:t>
            </w:r>
            <w:r w:rsidRPr="009748FC">
              <w:rPr>
                <w:rFonts w:ascii="Times New Roman" w:eastAsia="Times New Roman" w:hAnsi="Times New Roman" w:cs="Times New Roman"/>
                <w:lang w:eastAsia="ro-RO"/>
              </w:rPr>
              <w:br/>
              <w:t>d) fundamentarea economico-financiară, în cazul în care realizarea noilor reglementări necesită cheltuieli financiare şi de altă natură;</w:t>
            </w:r>
            <w:r w:rsidRPr="009748FC">
              <w:rPr>
                <w:rFonts w:ascii="Times New Roman" w:eastAsia="Times New Roman" w:hAnsi="Times New Roman" w:cs="Times New Roman"/>
                <w:lang w:eastAsia="ro-RO"/>
              </w:rPr>
              <w:br/>
              <w:t>e) actul de analiză a impactului de reglementare, în cazul în care actul legislativ reglementează activitatea de întreprinzător.</w:t>
            </w:r>
            <w:r w:rsidRPr="009748FC">
              <w:rPr>
                <w:rFonts w:ascii="Times New Roman" w:eastAsia="Times New Roman" w:hAnsi="Times New Roman" w:cs="Times New Roman"/>
                <w:lang w:eastAsia="ro-RO"/>
              </w:rPr>
              <w:br/>
            </w:r>
            <w:r w:rsidRPr="009748FC">
              <w:rPr>
                <w:rFonts w:ascii="Times New Roman" w:eastAsia="Times New Roman" w:hAnsi="Times New Roman" w:cs="Times New Roman"/>
                <w:lang w:eastAsia="ro-RO"/>
              </w:rPr>
              <w:br/>
              <w:t>Autorul proiectului, în nota informativă, trece în revistă principalele prevederi ale proiectului, încercînd să nuanţeze locul proiectului în sistemul legislaţiei naţionale. Potrivit autorului, avînd în vedere conţinutul şi specificul de reglementare a proiectului, acesta se încadrează în categoria actelor legislative ordinare şi este elaborat în conformitate cu Legea nr. 780/2001, Legea nr. 797 din 02.04.1996 pentru adoptarea Regulamentului Parlamentului (în continuare – Regulamentul Parlamentului) şi Legea nr. 39 din 07.04.1994 despre statutul deputatului în Parlament.</w:t>
            </w:r>
            <w:r w:rsidRPr="009748FC">
              <w:rPr>
                <w:rFonts w:ascii="Times New Roman" w:eastAsia="Times New Roman" w:hAnsi="Times New Roman" w:cs="Times New Roman"/>
                <w:lang w:eastAsia="ro-RO"/>
              </w:rPr>
              <w:br/>
            </w:r>
            <w:r w:rsidRPr="009748FC">
              <w:rPr>
                <w:rFonts w:ascii="Times New Roman" w:eastAsia="Times New Roman" w:hAnsi="Times New Roman" w:cs="Times New Roman"/>
                <w:lang w:eastAsia="ro-RO"/>
              </w:rPr>
              <w:br/>
              <w:t xml:space="preserve">Autorul proiectului face referinţe la anumite practici internaţionale. Potrivit autorului, </w:t>
            </w:r>
            <w:r w:rsidRPr="004B5D4D">
              <w:rPr>
                <w:rFonts w:ascii="Times New Roman" w:eastAsia="Times New Roman" w:hAnsi="Times New Roman" w:cs="Times New Roman"/>
                <w:highlight w:val="yellow"/>
                <w:lang w:eastAsia="ro-RO"/>
              </w:rPr>
              <w:t>necesitatea elaborării şi adoptării proiectului, au fost formulate ca rezultat al unei analize minuţioase a practicii internaţionale – statelor care au deja elaborate şi implementate coduri de conduită a deputaţilor, precum şi necesităţile naţionale de reglementare în acest domeniu. Pornind de la cele menţionate în nota informativă, la elaborarea proiectului au fost studiate codurile de conduită a deputaţilor din 14 state din Uniunea Europeană, Comunitatea Statelor Independente, America de Nord şi Australia.</w:t>
            </w:r>
            <w:r w:rsidRPr="009748FC">
              <w:rPr>
                <w:rFonts w:ascii="Times New Roman" w:eastAsia="Times New Roman" w:hAnsi="Times New Roman" w:cs="Times New Roman"/>
                <w:lang w:eastAsia="ro-RO"/>
              </w:rPr>
              <w:t xml:space="preserve"> Potrivit autorului, prevederile proiectului, în cea mai mare parte, se axează pe practica </w:t>
            </w:r>
            <w:r w:rsidRPr="004B5D4D">
              <w:rPr>
                <w:rFonts w:ascii="Times New Roman" w:eastAsia="Times New Roman" w:hAnsi="Times New Roman" w:cs="Times New Roman"/>
                <w:highlight w:val="yellow"/>
                <w:lang w:eastAsia="ro-RO"/>
              </w:rPr>
              <w:t xml:space="preserve">Parlamentului </w:t>
            </w:r>
            <w:r w:rsidRPr="004B5D4D">
              <w:rPr>
                <w:rFonts w:ascii="Times New Roman" w:eastAsia="Times New Roman" w:hAnsi="Times New Roman" w:cs="Times New Roman"/>
                <w:highlight w:val="yellow"/>
                <w:lang w:eastAsia="ro-RO"/>
              </w:rPr>
              <w:lastRenderedPageBreak/>
              <w:t>Uniunii Europene, Republicii Federative Germane, Marii Britanii, Provinciei Quebec (Canada) şi Republicii Lituania. Practica celorlalte state: SUA, Georgia, Republica Kirghiză, Wales (Marea Britanie), Noua Zeelandă, Africa de Sud, New South Wales (Australia), Republica Filipinelor</w:t>
            </w:r>
            <w:r w:rsidRPr="009748FC">
              <w:rPr>
                <w:rFonts w:ascii="Times New Roman" w:eastAsia="Times New Roman" w:hAnsi="Times New Roman" w:cs="Times New Roman"/>
                <w:lang w:eastAsia="ro-RO"/>
              </w:rPr>
              <w:t>, a servit drept material consultativ la elaborarea proiectului.</w:t>
            </w:r>
            <w:r w:rsidRPr="009748FC">
              <w:rPr>
                <w:rFonts w:ascii="Times New Roman" w:eastAsia="Times New Roman" w:hAnsi="Times New Roman" w:cs="Times New Roman"/>
                <w:lang w:eastAsia="ro-RO"/>
              </w:rPr>
              <w:br/>
            </w:r>
            <w:r w:rsidRPr="009748FC">
              <w:rPr>
                <w:rFonts w:ascii="Times New Roman" w:eastAsia="Times New Roman" w:hAnsi="Times New Roman" w:cs="Times New Roman"/>
                <w:lang w:eastAsia="ro-RO"/>
              </w:rPr>
              <w:br/>
              <w:t xml:space="preserve">Totuşi, proiectul nu este argumentat suficient în partea ce ţine de condiţiile ce au impus elaborarea acestuia. Astfel, nota informativă </w:t>
            </w:r>
            <w:r w:rsidRPr="004B5D4D">
              <w:rPr>
                <w:rFonts w:ascii="Times New Roman" w:eastAsia="Times New Roman" w:hAnsi="Times New Roman" w:cs="Times New Roman"/>
                <w:highlight w:val="yellow"/>
                <w:lang w:eastAsia="ro-RO"/>
              </w:rPr>
              <w:t>nu conţine o analiză a eventualelor efecte ale proiectului, care ar fortifica argumentele autorului.</w:t>
            </w:r>
            <w:r w:rsidRPr="009748FC">
              <w:rPr>
                <w:rFonts w:ascii="Times New Roman" w:eastAsia="Times New Roman" w:hAnsi="Times New Roman" w:cs="Times New Roman"/>
                <w:lang w:eastAsia="ro-RO"/>
              </w:rPr>
              <w:t xml:space="preserve"> Ar fi necesară şi o analiză a impactului prevederilor din capitolul 11, Interdicţii şi sancţiuni, din Regulamentul Parlamentului. În fapt, nici Parlamentul nu oferă careva statistici privind sancţiunile aplicate deputaţilor în condiţiile legislaţiei naţionale în vigoare, astfel încît să ne convingem că mecanismele existente de sancţionare a deputaţilor sînt aplicate, precum şi să ne convingem că mecanismele de sancţionare propuse prin proiect sînt aplicabile. Nota informativă nu oferă nici o analiză a deficienţelor cu care se confruntă deputaţii în aplicarea prevederilor legale cu privire la conflictul de interese. </w:t>
            </w:r>
            <w:r w:rsidRPr="009748FC">
              <w:rPr>
                <w:rFonts w:ascii="Times New Roman" w:eastAsia="Times New Roman" w:hAnsi="Times New Roman" w:cs="Times New Roman"/>
                <w:lang w:eastAsia="ro-RO"/>
              </w:rPr>
              <w:br/>
            </w:r>
            <w:r w:rsidRPr="009748FC">
              <w:rPr>
                <w:rFonts w:ascii="Times New Roman" w:eastAsia="Times New Roman" w:hAnsi="Times New Roman" w:cs="Times New Roman"/>
                <w:lang w:eastAsia="ro-RO"/>
              </w:rPr>
              <w:br/>
              <w:t>Proiectul nu este suficient de argumentat economico-financiar, deşi instituirea funcţiei de Comisar pentru etică va necesita cheltuieli financiare.</w:t>
            </w:r>
            <w:r w:rsidRPr="009748FC">
              <w:rPr>
                <w:rFonts w:ascii="Times New Roman" w:eastAsia="Times New Roman" w:hAnsi="Times New Roman" w:cs="Times New Roman"/>
                <w:lang w:eastAsia="ro-RO"/>
              </w:rPr>
              <w:br/>
            </w:r>
            <w:r w:rsidRPr="009748FC">
              <w:rPr>
                <w:rFonts w:ascii="Times New Roman" w:eastAsia="Times New Roman" w:hAnsi="Times New Roman" w:cs="Times New Roman"/>
                <w:lang w:eastAsia="ro-RO"/>
              </w:rPr>
              <w:br/>
              <w:t>Cele două din urmă obiecţii nu infirmă necesitatea proiectului, ci se referă la capacitatea şi abilitatea autorului de a-şi justifica iniţiativa legislativă.</w:t>
            </w:r>
            <w:r w:rsidRPr="009748FC">
              <w:rPr>
                <w:rFonts w:ascii="Times New Roman" w:eastAsia="Times New Roman" w:hAnsi="Times New Roman" w:cs="Times New Roman"/>
                <w:lang w:eastAsia="ro-RO"/>
              </w:rPr>
              <w:br/>
            </w:r>
            <w:r w:rsidRPr="009748FC">
              <w:rPr>
                <w:rFonts w:ascii="Times New Roman" w:eastAsia="Times New Roman" w:hAnsi="Times New Roman" w:cs="Times New Roman"/>
                <w:lang w:eastAsia="ro-RO"/>
              </w:rPr>
              <w:br/>
            </w:r>
            <w:r w:rsidRPr="009748FC">
              <w:rPr>
                <w:rFonts w:ascii="Times New Roman" w:eastAsia="Times New Roman" w:hAnsi="Times New Roman" w:cs="Times New Roman"/>
                <w:lang w:eastAsia="ro-RO"/>
              </w:rPr>
              <w:br/>
            </w:r>
            <w:r w:rsidRPr="009748FC">
              <w:rPr>
                <w:rFonts w:ascii="inherit" w:eastAsia="Times New Roman" w:hAnsi="inherit" w:cs="Times New Roman"/>
                <w:lang w:eastAsia="ro-RO"/>
              </w:rPr>
              <w:t>5. Sfera de reglementare a proiectului corespunde următoarelor domenii/drepturi:</w:t>
            </w:r>
          </w:p>
          <w:p w:rsidR="009748FC" w:rsidRPr="009748FC" w:rsidRDefault="009748FC" w:rsidP="009748FC">
            <w:pPr>
              <w:spacing w:after="0" w:line="240" w:lineRule="auto"/>
              <w:rPr>
                <w:rFonts w:ascii="Times New Roman" w:eastAsia="Times New Roman" w:hAnsi="Times New Roman" w:cs="Times New Roman"/>
                <w:lang w:eastAsia="ro-RO"/>
              </w:rPr>
            </w:pPr>
            <w:r w:rsidRPr="009748FC">
              <w:rPr>
                <w:rFonts w:ascii="Times New Roman" w:eastAsia="Times New Roman" w:hAnsi="Times New Roman" w:cs="Times New Roman"/>
                <w:b/>
                <w:bCs/>
                <w:lang w:eastAsia="ro-RO"/>
              </w:rPr>
              <w:t>Drepturi si libertăți social-politice:</w:t>
            </w:r>
            <w:r w:rsidRPr="009748FC">
              <w:rPr>
                <w:rFonts w:ascii="Times New Roman" w:eastAsia="Times New Roman" w:hAnsi="Times New Roman" w:cs="Times New Roman"/>
                <w:lang w:eastAsia="ro-RO"/>
              </w:rPr>
              <w:t> </w:t>
            </w:r>
          </w:p>
          <w:p w:rsidR="009748FC" w:rsidRPr="009748FC" w:rsidRDefault="009748FC" w:rsidP="009748FC">
            <w:pPr>
              <w:spacing w:after="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Dreptul la administrare (art. 39 din Constituția RM)</w:t>
            </w:r>
            <w:r w:rsidRPr="009748FC">
              <w:rPr>
                <w:rFonts w:ascii="Times New Roman" w:eastAsia="Times New Roman" w:hAnsi="Times New Roman" w:cs="Times New Roman"/>
                <w:lang w:eastAsia="ro-RO"/>
              </w:rPr>
              <w:br/>
              <w:t>Dreptul la informație (art. 34 din Constituția RM)</w:t>
            </w:r>
          </w:p>
          <w:p w:rsidR="009748FC" w:rsidRPr="009748FC" w:rsidRDefault="009748FC" w:rsidP="009748FC">
            <w:pPr>
              <w:spacing w:after="0" w:line="240" w:lineRule="auto"/>
              <w:rPr>
                <w:rFonts w:ascii="Times New Roman" w:eastAsia="Times New Roman" w:hAnsi="Times New Roman" w:cs="Times New Roman"/>
                <w:lang w:eastAsia="ro-RO"/>
              </w:rPr>
            </w:pPr>
            <w:r w:rsidRPr="009748FC">
              <w:rPr>
                <w:rFonts w:ascii="Times New Roman" w:eastAsia="Times New Roman" w:hAnsi="Times New Roman" w:cs="Times New Roman"/>
                <w:b/>
                <w:bCs/>
                <w:lang w:eastAsia="ro-RO"/>
              </w:rPr>
              <w:t>Drepturi garanții:</w:t>
            </w:r>
            <w:r w:rsidRPr="009748FC">
              <w:rPr>
                <w:rFonts w:ascii="Times New Roman" w:eastAsia="Times New Roman" w:hAnsi="Times New Roman" w:cs="Times New Roman"/>
                <w:lang w:eastAsia="ro-RO"/>
              </w:rPr>
              <w:t> </w:t>
            </w:r>
          </w:p>
          <w:p w:rsidR="009748FC" w:rsidRPr="009748FC" w:rsidRDefault="009748FC" w:rsidP="009748FC">
            <w:pPr>
              <w:spacing w:after="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Dreptul la acces liber la justiție (art. 20 din Constituția RM)</w:t>
            </w:r>
            <w:r w:rsidRPr="009748FC">
              <w:rPr>
                <w:rFonts w:ascii="Times New Roman" w:eastAsia="Times New Roman" w:hAnsi="Times New Roman" w:cs="Times New Roman"/>
                <w:lang w:eastAsia="ro-RO"/>
              </w:rPr>
              <w:br/>
              <w:t>Dreptul de a cunoaște drepturile și îndatoririle (art. 23 din Constituția RM)</w:t>
            </w:r>
          </w:p>
          <w:p w:rsidR="009748FC" w:rsidRPr="009748FC" w:rsidRDefault="009748FC" w:rsidP="009748FC">
            <w:pPr>
              <w:spacing w:after="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br/>
            </w:r>
            <w:r w:rsidRPr="009748FC">
              <w:rPr>
                <w:rFonts w:ascii="Times New Roman" w:eastAsia="Times New Roman" w:hAnsi="Times New Roman" w:cs="Times New Roman"/>
                <w:lang w:eastAsia="ro-RO"/>
              </w:rPr>
              <w:br/>
            </w:r>
          </w:p>
          <w:p w:rsidR="009748FC" w:rsidRPr="009748FC" w:rsidRDefault="009748FC" w:rsidP="009748FC">
            <w:pPr>
              <w:spacing w:before="300" w:after="90" w:line="504" w:lineRule="atLeast"/>
              <w:outlineLvl w:val="1"/>
              <w:rPr>
                <w:rFonts w:ascii="inherit" w:eastAsia="Times New Roman" w:hAnsi="inherit" w:cs="Times New Roman"/>
                <w:color w:val="EF7A00"/>
                <w:lang w:eastAsia="ro-RO"/>
              </w:rPr>
            </w:pPr>
            <w:r w:rsidRPr="009748FC">
              <w:rPr>
                <w:rFonts w:ascii="inherit" w:eastAsia="Times New Roman" w:hAnsi="inherit" w:cs="Times New Roman"/>
                <w:color w:val="EF7A00"/>
                <w:lang w:eastAsia="ro-RO"/>
              </w:rPr>
              <w:t>Evaluarea de fond a proiectului</w:t>
            </w:r>
          </w:p>
          <w:p w:rsidR="009748FC" w:rsidRPr="009748FC" w:rsidRDefault="009748FC" w:rsidP="009748FC">
            <w:pPr>
              <w:spacing w:after="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br/>
            </w:r>
          </w:p>
          <w:p w:rsidR="009748FC" w:rsidRPr="009748FC" w:rsidRDefault="009748FC" w:rsidP="009748FC">
            <w:pPr>
              <w:spacing w:after="0" w:line="240" w:lineRule="auto"/>
              <w:rPr>
                <w:rFonts w:ascii="Times New Roman" w:eastAsia="Times New Roman" w:hAnsi="Times New Roman" w:cs="Times New Roman"/>
                <w:lang w:eastAsia="ro-RO"/>
              </w:rPr>
            </w:pPr>
            <w:r w:rsidRPr="009748FC">
              <w:rPr>
                <w:rFonts w:ascii="inherit" w:eastAsia="Times New Roman" w:hAnsi="inherit" w:cs="Times New Roman"/>
                <w:lang w:eastAsia="ro-RO"/>
              </w:rPr>
              <w:t>6. Respectarea principiului transparenței</w:t>
            </w:r>
            <w:r w:rsidRPr="009748FC">
              <w:rPr>
                <w:rFonts w:ascii="Times New Roman" w:eastAsia="Times New Roman" w:hAnsi="Times New Roman" w:cs="Times New Roman"/>
                <w:lang w:eastAsia="ro-RO"/>
              </w:rPr>
              <w:t xml:space="preserve"> nu este asigurată. În partea ce ţine de principiul transparenţei, acesta nu este asigurat. Principiul transparenţei, pornind de la art. 4 alin. (2) lit. f) din proiect, se regăseşte între principiile de conduită a deputatului. Astfel, potrivit normelor pre-citate, </w:t>
            </w:r>
            <w:r w:rsidRPr="004B5D4D">
              <w:rPr>
                <w:rFonts w:ascii="Times New Roman" w:eastAsia="Times New Roman" w:hAnsi="Times New Roman" w:cs="Times New Roman"/>
                <w:b/>
                <w:highlight w:val="yellow"/>
                <w:lang w:eastAsia="ro-RO"/>
              </w:rPr>
              <w:t>deputaţii trebuie să asigure transparenţa în activitatea lor, avînd obligaţia menţinerii unui dialog permanent cu cetăţenii pe problemele care îi interesează şi care rezultă din asumarea şi exercitarea mandatului de deputat.</w:t>
            </w:r>
            <w:r w:rsidRPr="004B5D4D">
              <w:rPr>
                <w:rFonts w:ascii="Times New Roman" w:eastAsia="Times New Roman" w:hAnsi="Times New Roman" w:cs="Times New Roman"/>
                <w:highlight w:val="yellow"/>
                <w:lang w:eastAsia="ro-RO"/>
              </w:rPr>
              <w:t xml:space="preserve"> În fapt, era importantă asigurarea transparenţei în procesul de numire şi în activitatea Comisarului pentru etică, precum şi garantarea transparenţei rezultatelor investigării cazurilor de încălcare a eticii de deputat, de rînd cu transparenţa procesului de examinare a cazurilor de către Comisia juridică, numiri şi imunităţi.</w:t>
            </w:r>
            <w:r w:rsidRPr="009748FC">
              <w:rPr>
                <w:rFonts w:ascii="Times New Roman" w:eastAsia="Times New Roman" w:hAnsi="Times New Roman" w:cs="Times New Roman"/>
                <w:lang w:eastAsia="ro-RO"/>
              </w:rPr>
              <w:t xml:space="preserve"> În acest sens, proiectul nu conţine norme exprese care ar asigura că actorii-cheie (Comisarul pentru etică; Comisia juridică, numiri şi imunităţi; Parlamentul) vor oferi informaţii accesibile, uşor disponibile, relevante şi actualizate privind punerea în aplicare a legii. Totodată, proiectul nu stabileşte mecanisme de comunicare cu populaţia. </w:t>
            </w:r>
            <w:r w:rsidRPr="009748FC">
              <w:rPr>
                <w:rFonts w:ascii="Times New Roman" w:eastAsia="Times New Roman" w:hAnsi="Times New Roman" w:cs="Times New Roman"/>
                <w:lang w:eastAsia="ro-RO"/>
              </w:rPr>
              <w:br/>
            </w:r>
            <w:r w:rsidRPr="009748FC">
              <w:rPr>
                <w:rFonts w:ascii="Times New Roman" w:eastAsia="Times New Roman" w:hAnsi="Times New Roman" w:cs="Times New Roman"/>
                <w:lang w:eastAsia="ro-RO"/>
              </w:rPr>
              <w:br/>
              <w:t xml:space="preserve">În partea ce ţine de transparenţa promovării proiectului, aceasta, la etapa actuală a procesului de examinare a proiectului, pare a fi asigurată. Proiectul, însoţit de nota informativă, este plasat pe web site-ul oficial al Parlamentului, fapt care corespunde pct. 3.5. lit. b) din Concepţia privind cooperarea dintre Parlament şi societatea civilă, aprobată prin Hotărîrea Parlamentului nr. 373-XVI din </w:t>
            </w:r>
            <w:r w:rsidRPr="009748FC">
              <w:rPr>
                <w:rFonts w:ascii="Times New Roman" w:eastAsia="Times New Roman" w:hAnsi="Times New Roman" w:cs="Times New Roman"/>
                <w:lang w:eastAsia="ro-RO"/>
              </w:rPr>
              <w:lastRenderedPageBreak/>
              <w:t>29.12.2005. </w:t>
            </w:r>
            <w:r w:rsidRPr="009748FC">
              <w:rPr>
                <w:rFonts w:ascii="Times New Roman" w:eastAsia="Times New Roman" w:hAnsi="Times New Roman" w:cs="Times New Roman"/>
                <w:lang w:eastAsia="ro-RO"/>
              </w:rPr>
              <w:br/>
            </w:r>
            <w:r w:rsidRPr="009748FC">
              <w:rPr>
                <w:rFonts w:ascii="Times New Roman" w:eastAsia="Times New Roman" w:hAnsi="Times New Roman" w:cs="Times New Roman"/>
                <w:lang w:eastAsia="ro-RO"/>
              </w:rPr>
              <w:br/>
              <w:t>Totodată, aceste norme sînt dezvoltate prin prevederile Instrucţiunii privind circulaţia proiectelor de acte legislative în Parlament, aprobată prin Hotărîrea Biroului permanent al Parlamentului nr. 30 din 07.11.2012 (în continuare – Instrucţiune). </w:t>
            </w:r>
            <w:r w:rsidRPr="009748FC">
              <w:rPr>
                <w:rFonts w:ascii="Times New Roman" w:eastAsia="Times New Roman" w:hAnsi="Times New Roman" w:cs="Times New Roman"/>
                <w:lang w:eastAsia="ro-RO"/>
              </w:rPr>
              <w:br/>
            </w:r>
            <w:r w:rsidRPr="009748FC">
              <w:rPr>
                <w:rFonts w:ascii="Times New Roman" w:eastAsia="Times New Roman" w:hAnsi="Times New Roman" w:cs="Times New Roman"/>
                <w:lang w:eastAsia="ro-RO"/>
              </w:rPr>
              <w:br/>
              <w:t>Astfel, în conformitate cu pct. 2.1.4, 2.2.18, 2.2.20-2.2.22 din Instrucţiune, proiectul de act legislativ înaintat în calitate de iniţiativă legislativă a deputatului în Parlament se depune în Parlament împreună cu următoarele acte obligatorii: </w:t>
            </w:r>
            <w:r w:rsidRPr="009748FC">
              <w:rPr>
                <w:rFonts w:ascii="Times New Roman" w:eastAsia="Times New Roman" w:hAnsi="Times New Roman" w:cs="Times New Roman"/>
                <w:lang w:eastAsia="ro-RO"/>
              </w:rPr>
              <w:br/>
              <w:t>a) adresa de înaintare a iniţiativei legislative, semnată de deputat/deputați, sau hotărîrea organelor de lucru ale Parlamentului; </w:t>
            </w:r>
            <w:r w:rsidRPr="009748FC">
              <w:rPr>
                <w:rFonts w:ascii="Times New Roman" w:eastAsia="Times New Roman" w:hAnsi="Times New Roman" w:cs="Times New Roman"/>
                <w:lang w:eastAsia="ro-RO"/>
              </w:rPr>
              <w:br/>
              <w:t>b) proiectul de act legislativ, prezentat în limba de stat sau în limba rusă; </w:t>
            </w:r>
            <w:r w:rsidRPr="009748FC">
              <w:rPr>
                <w:rFonts w:ascii="Times New Roman" w:eastAsia="Times New Roman" w:hAnsi="Times New Roman" w:cs="Times New Roman"/>
                <w:lang w:eastAsia="ro-RO"/>
              </w:rPr>
              <w:br/>
              <w:t>c) nota informativă la proiectul de act legislativ, întocmită în conformitate cu prevederile Legea nr. 780 din 27.12.2001 privind actele legislative; </w:t>
            </w:r>
            <w:r w:rsidRPr="009748FC">
              <w:rPr>
                <w:rFonts w:ascii="Times New Roman" w:eastAsia="Times New Roman" w:hAnsi="Times New Roman" w:cs="Times New Roman"/>
                <w:lang w:eastAsia="ro-RO"/>
              </w:rPr>
              <w:br/>
              <w:t>d) expertiza juridică și expertiza anticorupție, care se prezintă ulterior în conformitate cu rezoluția Președintelui Parlamentului.</w:t>
            </w:r>
            <w:r w:rsidRPr="009748FC">
              <w:rPr>
                <w:rFonts w:ascii="Times New Roman" w:eastAsia="Times New Roman" w:hAnsi="Times New Roman" w:cs="Times New Roman"/>
                <w:lang w:eastAsia="ro-RO"/>
              </w:rPr>
              <w:br/>
            </w:r>
            <w:r w:rsidRPr="009748FC">
              <w:rPr>
                <w:rFonts w:ascii="Times New Roman" w:eastAsia="Times New Roman" w:hAnsi="Times New Roman" w:cs="Times New Roman"/>
                <w:lang w:eastAsia="ro-RO"/>
              </w:rPr>
              <w:br/>
              <w:t>Dosarul se completează cu originalele rapoartelor și ale sintezelor comisiei permanente sesizate in fond, corapoartele și avizele comisiilor permanente, avizul Direcției generale juridice, după caz, cu avizul Guvernului, avizele altor autorități, amendamentele deputaților și fracțiunilor, propunerile societății civile și cu alte documente pertinente. După includerea în procedură legislativă, proiectul de act legislativ și documentele conexe, în variantă electronică sau, după caz, pe suport de hîrtie, se transmit în aceeași zi de la Direcția generală documentare parlamentară către Direcția generală informațional-analitică, care asigură scanarea și plasarea lor pe pagina web oficială a Parlamentului în cel mult 5 zile lucrătoare de la data includerii proiectului în procedură legislativă. Pe parcursul aflării proiectului în procedură legislativă, Direcţia generală documentare parlamentară transmite zilnic Direcției generale informațional-analitice toate documentele şi informaţiile parvenite (avize, expertize, rapoarte, corapoarte, sinteze, alte informații ce țin de etapa procedurală) pe marginea proiectului respectiv pentru a fi scanate și plasate pe pagina web oficială a Parlamentului. Direcţia generală informaţional-analitică actualizează permanent informaţiile de pe pagina web oficială a Parlamentului referitoare la proiectele de acte legislative introduse în procedură legislativă. </w:t>
            </w:r>
            <w:r w:rsidRPr="009748FC">
              <w:rPr>
                <w:rFonts w:ascii="Times New Roman" w:eastAsia="Times New Roman" w:hAnsi="Times New Roman" w:cs="Times New Roman"/>
                <w:lang w:eastAsia="ro-RO"/>
              </w:rPr>
              <w:br/>
            </w:r>
            <w:r w:rsidRPr="009748FC">
              <w:rPr>
                <w:rFonts w:ascii="Times New Roman" w:eastAsia="Times New Roman" w:hAnsi="Times New Roman" w:cs="Times New Roman"/>
                <w:lang w:eastAsia="ro-RO"/>
              </w:rPr>
              <w:br/>
              <w:t>La moment, deşi proiectul este în procedură din iunie 2013, pe site-ul Parlamentului nu sînt plasate decît proiectul şi nota informativă. Caracterul lent cu care se examinează proiectul, deşi importanţa acestuia este evidentă, nu poate să nu îngrijoreze. </w:t>
            </w:r>
          </w:p>
          <w:p w:rsidR="009748FC" w:rsidRPr="009748FC" w:rsidRDefault="009748FC" w:rsidP="009748FC">
            <w:pPr>
              <w:spacing w:after="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br/>
            </w:r>
          </w:p>
          <w:p w:rsidR="009748FC" w:rsidRPr="009748FC" w:rsidRDefault="009748FC" w:rsidP="009748FC">
            <w:pPr>
              <w:spacing w:after="0" w:line="240" w:lineRule="auto"/>
              <w:rPr>
                <w:rFonts w:ascii="Times New Roman" w:eastAsia="Times New Roman" w:hAnsi="Times New Roman" w:cs="Times New Roman"/>
                <w:lang w:eastAsia="ro-RO"/>
              </w:rPr>
            </w:pPr>
            <w:r w:rsidRPr="009748FC">
              <w:rPr>
                <w:rFonts w:ascii="inherit" w:eastAsia="Times New Roman" w:hAnsi="inherit" w:cs="Times New Roman"/>
                <w:lang w:eastAsia="ro-RO"/>
              </w:rPr>
              <w:t>7. Respectarea principiului participării</w:t>
            </w:r>
            <w:r w:rsidRPr="009748FC">
              <w:rPr>
                <w:rFonts w:ascii="Times New Roman" w:eastAsia="Times New Roman" w:hAnsi="Times New Roman" w:cs="Times New Roman"/>
                <w:lang w:eastAsia="ro-RO"/>
              </w:rPr>
              <w:t> nu este asigurată. Mai multe exigenţe, care, în mod tradiţional, sînt înaintate unui proiect pentru ca acesta să asigure principiul transparenţei, sînt inaplicabile proiectului expertizat. Ne referim la necesitatea unor: i) prevederi, care stabilesc un mecanism, care să permită exprimarea opiniei; ii) prevederi exprese/tacite, care stabilesc un mecanism, care să permită luarea în consideraţie a opiniei exprimate; iii) prevederi prin care s-ar institui structuri semi-permanente, în cadrul cărora reprezentanţii publici (sau reprezentanţii părţilor interesate) vor fi consultaţi, în diferite etape ale procesului decizional. În pofida acestora, proiectul nu asigură respectarea principiului participării pentru următoarele motive. Principiul participării este corelativ principiului transparenţei. Astfel, evident, prin neasigurarea principiului transparenţei, nu este asigurată respectarea principiului participării. Mai mult, prin anumite norme ale proiectului poate să se aducă atingere Dreptului la informaţie şi Dreptului la administrare, drepturi esenţiale în asigurarea participării publicului într-un proces decizional. Şi mai grav este că cetăţeanul, potrivit proiectului, nu poate sesiza Comisarul pentru etică, acest drept fiind rezervat, în exclusivitate, deputaţilor. Toate obiecţiile şi recomandările în acest sens se conţin în compartimentul Analiza detaliată a textului proiectului.</w:t>
            </w:r>
          </w:p>
          <w:p w:rsidR="009748FC" w:rsidRPr="009748FC" w:rsidRDefault="009748FC" w:rsidP="009748FC">
            <w:pPr>
              <w:spacing w:after="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br/>
            </w:r>
          </w:p>
          <w:p w:rsidR="009748FC" w:rsidRPr="009748FC" w:rsidRDefault="009748FC" w:rsidP="009748FC">
            <w:pPr>
              <w:spacing w:after="0" w:line="240" w:lineRule="auto"/>
              <w:rPr>
                <w:rFonts w:ascii="Times New Roman" w:eastAsia="Times New Roman" w:hAnsi="Times New Roman" w:cs="Times New Roman"/>
                <w:lang w:eastAsia="ro-RO"/>
              </w:rPr>
            </w:pPr>
            <w:r w:rsidRPr="009748FC">
              <w:rPr>
                <w:rFonts w:ascii="inherit" w:eastAsia="Times New Roman" w:hAnsi="inherit" w:cs="Times New Roman"/>
                <w:lang w:eastAsia="ro-RO"/>
              </w:rPr>
              <w:t>8. Respectarea principiului responsabilizării</w:t>
            </w:r>
            <w:r w:rsidRPr="009748FC">
              <w:rPr>
                <w:rFonts w:ascii="Times New Roman" w:eastAsia="Times New Roman" w:hAnsi="Times New Roman" w:cs="Times New Roman"/>
                <w:lang w:eastAsia="ro-RO"/>
              </w:rPr>
              <w:t xml:space="preserve"> nu este asigurată. </w:t>
            </w:r>
            <w:r w:rsidRPr="004B5D4D">
              <w:rPr>
                <w:rFonts w:ascii="Times New Roman" w:eastAsia="Times New Roman" w:hAnsi="Times New Roman" w:cs="Times New Roman"/>
                <w:b/>
                <w:lang w:eastAsia="ro-RO"/>
              </w:rPr>
              <w:t xml:space="preserve">Proiectul nu conţine prevederi, care </w:t>
            </w:r>
            <w:r w:rsidRPr="004B5D4D">
              <w:rPr>
                <w:rFonts w:ascii="Times New Roman" w:eastAsia="Times New Roman" w:hAnsi="Times New Roman" w:cs="Times New Roman"/>
                <w:b/>
                <w:lang w:eastAsia="ro-RO"/>
              </w:rPr>
              <w:lastRenderedPageBreak/>
              <w:t>ar permite monitorizarea procesului de implementare a normelor din proiect.</w:t>
            </w:r>
            <w:r w:rsidRPr="009748FC">
              <w:rPr>
                <w:rFonts w:ascii="Times New Roman" w:eastAsia="Times New Roman" w:hAnsi="Times New Roman" w:cs="Times New Roman"/>
                <w:lang w:eastAsia="ro-RO"/>
              </w:rPr>
              <w:t xml:space="preserve"> Respectiv, proiectul nu instituie un mecanism pentru luarea în consideraţie a rezultatelor monitorizării. Mai mult, proiectul </w:t>
            </w:r>
            <w:r w:rsidRPr="004B5D4D">
              <w:rPr>
                <w:rFonts w:ascii="Times New Roman" w:eastAsia="Times New Roman" w:hAnsi="Times New Roman" w:cs="Times New Roman"/>
                <w:b/>
                <w:highlight w:val="yellow"/>
                <w:lang w:eastAsia="ro-RO"/>
              </w:rPr>
              <w:t>nu conţine prevederi care ar obliga actorii-cheie</w:t>
            </w:r>
            <w:r w:rsidRPr="004B5D4D">
              <w:rPr>
                <w:rFonts w:ascii="Times New Roman" w:eastAsia="Times New Roman" w:hAnsi="Times New Roman" w:cs="Times New Roman"/>
                <w:highlight w:val="yellow"/>
                <w:lang w:eastAsia="ro-RO"/>
              </w:rPr>
              <w:t xml:space="preserve"> (Comisarul pentru etică, Comisia juridică numiri şi imunităţi, Parlamentul) să facă publice, fără a aduce atingere principiilor confidenţialităţii şi operativităţii investigaţiei, rezultatele punerii în aplicare a legii.</w:t>
            </w:r>
          </w:p>
          <w:p w:rsidR="009748FC" w:rsidRPr="009748FC" w:rsidRDefault="009748FC" w:rsidP="009748FC">
            <w:pPr>
              <w:spacing w:after="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br/>
            </w:r>
          </w:p>
          <w:p w:rsidR="009748FC" w:rsidRPr="009748FC" w:rsidRDefault="009748FC" w:rsidP="009748FC">
            <w:pPr>
              <w:spacing w:after="0" w:line="240" w:lineRule="auto"/>
              <w:rPr>
                <w:rFonts w:ascii="Times New Roman" w:eastAsia="Times New Roman" w:hAnsi="Times New Roman" w:cs="Times New Roman"/>
                <w:lang w:eastAsia="ro-RO"/>
              </w:rPr>
            </w:pPr>
            <w:r w:rsidRPr="009748FC">
              <w:rPr>
                <w:rFonts w:ascii="inherit" w:eastAsia="Times New Roman" w:hAnsi="inherit" w:cs="Times New Roman"/>
                <w:lang w:eastAsia="ro-RO"/>
              </w:rPr>
              <w:t>9. Nivelul de corespundere a proiectului/actului normativ normelor constituționale. </w:t>
            </w:r>
            <w:r w:rsidRPr="009748FC">
              <w:rPr>
                <w:rFonts w:ascii="Times New Roman" w:eastAsia="Times New Roman" w:hAnsi="Times New Roman" w:cs="Times New Roman"/>
                <w:lang w:eastAsia="ro-RO"/>
              </w:rPr>
              <w:t>Proiectul/actul normativ este conform parțial Constituției. Obiecţiile şi recomandările în partea ce ţine de nivelul de corespundere a unor prevederi din proiect normelor constituţionale se conţin atît în Evaluarea generală a proiectului, cît şi în Analiza detaliată a textului proiectului. Astfel, pornind de la prevederile art. 41 alin. (7) din Constituţia RM, categoria proiectului contravine prevederilor art. 72 alin. (3) lit. p) din Constituţia RM. Proiectul, prin unele prevederi, poate aduce atingere Dreptului la informaţie şi Dreptului la administrare, garantate prin articolele 34 şi 39 din Constituţia RM. Prin alte prevederi, proiectul îngrădeşte accesul liber la justiţie, drept garantat prin art. 20 din Constituţia RM, precum şi limitează Dreptul de a-şi cunoaşte drepturile şi îndatoririle, garantat prin art. 23 din Constituţia RM, aplicabil deputatului.</w:t>
            </w:r>
          </w:p>
          <w:p w:rsidR="009748FC" w:rsidRPr="009748FC" w:rsidRDefault="009748FC" w:rsidP="009748FC">
            <w:pPr>
              <w:spacing w:after="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br/>
            </w:r>
          </w:p>
          <w:p w:rsidR="009748FC" w:rsidRPr="009748FC" w:rsidRDefault="009748FC" w:rsidP="009748FC">
            <w:pPr>
              <w:spacing w:after="0" w:line="240" w:lineRule="auto"/>
              <w:rPr>
                <w:rFonts w:ascii="Times New Roman" w:eastAsia="Times New Roman" w:hAnsi="Times New Roman" w:cs="Times New Roman"/>
                <w:lang w:eastAsia="ro-RO"/>
              </w:rPr>
            </w:pPr>
            <w:r w:rsidRPr="009748FC">
              <w:rPr>
                <w:rFonts w:ascii="inherit" w:eastAsia="Times New Roman" w:hAnsi="inherit" w:cs="Times New Roman"/>
                <w:lang w:eastAsia="ro-RO"/>
              </w:rPr>
              <w:t>10. Nivelul de corespundere a proiectului/actului normativ legislației corelative. </w:t>
            </w:r>
            <w:r w:rsidRPr="009748FC">
              <w:rPr>
                <w:rFonts w:ascii="Times New Roman" w:eastAsia="Times New Roman" w:hAnsi="Times New Roman" w:cs="Times New Roman"/>
                <w:lang w:eastAsia="ro-RO"/>
              </w:rPr>
              <w:t>Proiectul/actul normativ este conform parțial legislației corelative. Mai multe prevederi ale proiectului contravin unor norme din legislaţia corelativă. Obiecţiile şi recomandările în acest sens se conţin în compartimentul Analiza detaliată a textului proiectului.</w:t>
            </w:r>
          </w:p>
          <w:p w:rsidR="009748FC" w:rsidRPr="009748FC" w:rsidRDefault="009748FC" w:rsidP="009748FC">
            <w:pPr>
              <w:spacing w:after="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br/>
            </w:r>
          </w:p>
          <w:p w:rsidR="009748FC" w:rsidRPr="009748FC" w:rsidRDefault="009748FC" w:rsidP="009748FC">
            <w:pPr>
              <w:spacing w:after="0" w:line="240" w:lineRule="auto"/>
              <w:rPr>
                <w:rFonts w:ascii="Times New Roman" w:eastAsia="Times New Roman" w:hAnsi="Times New Roman" w:cs="Times New Roman"/>
                <w:lang w:eastAsia="ro-RO"/>
              </w:rPr>
            </w:pPr>
            <w:r w:rsidRPr="009748FC">
              <w:rPr>
                <w:rFonts w:ascii="inherit" w:eastAsia="Times New Roman" w:hAnsi="inherit" w:cs="Times New Roman"/>
                <w:lang w:eastAsia="ro-RO"/>
              </w:rPr>
              <w:t>11. Nivelul de corespundere a proiectului/actului normativ standartelor internaționale. </w:t>
            </w:r>
            <w:r w:rsidRPr="009748FC">
              <w:rPr>
                <w:rFonts w:ascii="Times New Roman" w:eastAsia="Times New Roman" w:hAnsi="Times New Roman" w:cs="Times New Roman"/>
                <w:lang w:eastAsia="ro-RO"/>
              </w:rPr>
              <w:t>Proiectul/actul normativ este conform standardelor internaționale. La general, standardele internaţionale relevante domeniului reglementat prin proiect, cum ar fi - Rezoluţia 1214 (2000) a Adunării Parlamentare a Consiliului Europei "Rolul Parlamentelor în lupta împotriva corupţiei", nu oferă decît un cadru general, lăsînd ţărilor discreţia de reglementare propriu-zisă. Cert este că reglementările naţionale trebuie să fie conforme normelor constituţionale şi nu trebuie să aducă atingere drepturilor fundamentale ale persoanei.</w:t>
            </w:r>
          </w:p>
          <w:p w:rsidR="009748FC" w:rsidRPr="009748FC" w:rsidRDefault="009748FC" w:rsidP="009748FC">
            <w:pPr>
              <w:spacing w:after="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br/>
            </w:r>
          </w:p>
          <w:p w:rsidR="009748FC" w:rsidRPr="009748FC" w:rsidRDefault="009748FC" w:rsidP="009748FC">
            <w:pPr>
              <w:spacing w:after="0" w:line="240" w:lineRule="auto"/>
              <w:rPr>
                <w:rFonts w:ascii="Times New Roman" w:eastAsia="Times New Roman" w:hAnsi="Times New Roman" w:cs="Times New Roman"/>
                <w:lang w:eastAsia="ro-RO"/>
              </w:rPr>
            </w:pPr>
            <w:r w:rsidRPr="009748FC">
              <w:rPr>
                <w:rFonts w:ascii="inherit" w:eastAsia="Times New Roman" w:hAnsi="inherit" w:cs="Times New Roman"/>
                <w:lang w:eastAsia="ro-RO"/>
              </w:rPr>
              <w:t>12. Nivelul de corespundere a proiectului/actului normativ jurisprudenței Curții Constutiționale</w:t>
            </w:r>
            <w:r w:rsidR="00EE5FFB">
              <w:rPr>
                <w:rFonts w:ascii="inherit" w:eastAsia="Times New Roman" w:hAnsi="inherit" w:cs="Times New Roman"/>
                <w:b/>
                <w:lang w:eastAsia="ro-RO"/>
              </w:rPr>
              <w:t xml:space="preserve"> </w:t>
            </w:r>
            <w:bookmarkStart w:id="0" w:name="_GoBack"/>
            <w:bookmarkEnd w:id="0"/>
            <w:r w:rsidRPr="009748FC">
              <w:rPr>
                <w:rFonts w:ascii="Times New Roman" w:eastAsia="Times New Roman" w:hAnsi="Times New Roman" w:cs="Times New Roman"/>
                <w:lang w:eastAsia="ro-RO"/>
              </w:rPr>
              <w:t xml:space="preserve"> în domeniul de reglementare a proiectului de act normativ expertizat. Există jurisprudenţă a Curţii Constituţionale în partea ce ţine de statutul deputatului, cum ar fi: Hotărîrea nr. 8 din 19.06.2012 privind interpretarea articolelor 68 alin. (1), (2) şi 69 alin. (2) din Constituţie (Sesizarea nr. 8b/2012); Hotărîrea nr. 10 din 12.07.2012 pentru controlul constituţionalităţii unor prevederi referitoare la statutul deputatului în Parlament (Sesizarea nr. 7a/2012). Această jurisprudenţă, însă, nu este relevantă pentru domeniul nemijlocit reglementat prin proiectul supus expertizei. </w:t>
            </w:r>
          </w:p>
          <w:p w:rsidR="009748FC" w:rsidRPr="009748FC" w:rsidRDefault="009748FC" w:rsidP="009748FC">
            <w:pPr>
              <w:spacing w:after="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br/>
            </w:r>
          </w:p>
          <w:p w:rsidR="009748FC" w:rsidRPr="009748FC" w:rsidRDefault="009748FC" w:rsidP="009748FC">
            <w:pPr>
              <w:spacing w:after="0" w:line="240" w:lineRule="auto"/>
              <w:rPr>
                <w:rFonts w:ascii="Times New Roman" w:eastAsia="Times New Roman" w:hAnsi="Times New Roman" w:cs="Times New Roman"/>
                <w:lang w:eastAsia="ro-RO"/>
              </w:rPr>
            </w:pPr>
            <w:r w:rsidRPr="009748FC">
              <w:rPr>
                <w:rFonts w:ascii="inherit" w:eastAsia="Times New Roman" w:hAnsi="inherit" w:cs="Times New Roman"/>
                <w:lang w:eastAsia="ro-RO"/>
              </w:rPr>
              <w:t>13. Nivelul de corespundere a proiectului/actului normativ jurisprudenței CtEDO. </w:t>
            </w:r>
            <w:r w:rsidRPr="009748FC">
              <w:rPr>
                <w:rFonts w:ascii="Times New Roman" w:eastAsia="Times New Roman" w:hAnsi="Times New Roman" w:cs="Times New Roman"/>
                <w:lang w:eastAsia="ro-RO"/>
              </w:rPr>
              <w:t>Nu există jurisprudență a CtEDO în domeniul de reglementare a proiectului de act normativ expertizat. Nu am identificat hotărîri ale CtEDO relevante domeniului reglementat nemijlocit prin proiect.</w:t>
            </w:r>
          </w:p>
          <w:p w:rsidR="009748FC" w:rsidRPr="009748FC" w:rsidRDefault="009748FC" w:rsidP="009748FC">
            <w:pPr>
              <w:spacing w:after="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br/>
            </w:r>
          </w:p>
          <w:p w:rsidR="009748FC" w:rsidRPr="009748FC" w:rsidRDefault="009748FC" w:rsidP="009748FC">
            <w:pPr>
              <w:spacing w:after="0" w:line="240" w:lineRule="auto"/>
              <w:rPr>
                <w:rFonts w:ascii="Times New Roman" w:eastAsia="Times New Roman" w:hAnsi="Times New Roman" w:cs="Times New Roman"/>
                <w:lang w:eastAsia="ro-RO"/>
              </w:rPr>
            </w:pPr>
            <w:r w:rsidRPr="009748FC">
              <w:rPr>
                <w:rFonts w:ascii="inherit" w:eastAsia="Times New Roman" w:hAnsi="inherit" w:cs="Times New Roman"/>
                <w:lang w:eastAsia="ro-RO"/>
              </w:rPr>
              <w:t>14. Impactul proiectului/actului normativ prin prisma drepturilor omului.</w:t>
            </w:r>
            <w:r w:rsidRPr="009748FC">
              <w:rPr>
                <w:rFonts w:ascii="Times New Roman" w:eastAsia="Times New Roman" w:hAnsi="Times New Roman" w:cs="Times New Roman"/>
                <w:lang w:eastAsia="ro-RO"/>
              </w:rPr>
              <w:t>Proiectul/actul normativ incalcă drepturile/libertățile. Proiectul, prin unele prevederi, poate aduce atingere Dreptului la informaţie şi Dreptului la administrare, garantate prin articolele 34 şi 39 din Constituţia RM. Prin alte prevederi, proiectul încalcă Dreptul la acces liber la justiţie, drept garantat prin art. 20 din Constituţia RM, precum şi limitează Dreptul de a-şi cunoaşte drepturile şi îndatoririle, garantat prin art. 23 din Constituţia RM, aplicabil deputatului.</w:t>
            </w:r>
          </w:p>
          <w:p w:rsidR="009748FC" w:rsidRPr="009748FC" w:rsidRDefault="009748FC" w:rsidP="009748FC">
            <w:pPr>
              <w:spacing w:after="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br/>
            </w:r>
          </w:p>
          <w:p w:rsidR="009748FC" w:rsidRPr="009748FC" w:rsidRDefault="009748FC" w:rsidP="009748FC">
            <w:pPr>
              <w:spacing w:after="0" w:line="240" w:lineRule="auto"/>
              <w:rPr>
                <w:rFonts w:ascii="Times New Roman" w:eastAsia="Times New Roman" w:hAnsi="Times New Roman" w:cs="Times New Roman"/>
                <w:lang w:eastAsia="ro-RO"/>
              </w:rPr>
            </w:pPr>
            <w:r w:rsidRPr="009748FC">
              <w:rPr>
                <w:rFonts w:ascii="inherit" w:eastAsia="Times New Roman" w:hAnsi="inherit" w:cs="Times New Roman"/>
                <w:lang w:eastAsia="ro-RO"/>
              </w:rPr>
              <w:t>15. Impactul gender al proiectului. </w:t>
            </w:r>
            <w:r w:rsidRPr="009748FC">
              <w:rPr>
                <w:rFonts w:ascii="Times New Roman" w:eastAsia="Times New Roman" w:hAnsi="Times New Roman" w:cs="Times New Roman"/>
                <w:lang w:eastAsia="ro-RO"/>
              </w:rPr>
              <w:t>Proiectul/actul normativ este gender neutru. Proiectul nu influenţează diferenţierea gender, nu contribuie la inegalitatea gender şi generează acelaşi impact atît asupra femeilor, cît şi bărbaţilor.</w:t>
            </w:r>
          </w:p>
          <w:p w:rsidR="009748FC" w:rsidRPr="009748FC" w:rsidRDefault="009748FC" w:rsidP="009748FC">
            <w:pPr>
              <w:spacing w:after="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br/>
            </w:r>
          </w:p>
          <w:p w:rsidR="009748FC" w:rsidRPr="009748FC" w:rsidRDefault="009748FC" w:rsidP="009748FC">
            <w:pPr>
              <w:spacing w:before="300" w:after="150" w:line="240" w:lineRule="auto"/>
              <w:rPr>
                <w:rFonts w:ascii="inherit" w:eastAsia="Times New Roman" w:hAnsi="inherit" w:cs="Times New Roman"/>
                <w:lang w:eastAsia="ro-RO"/>
              </w:rPr>
            </w:pPr>
            <w:r w:rsidRPr="009748FC">
              <w:rPr>
                <w:rFonts w:ascii="inherit" w:eastAsia="Times New Roman" w:hAnsi="inherit" w:cs="Times New Roman"/>
                <w:lang w:eastAsia="ro-RO"/>
              </w:rPr>
              <w:t>16. Analiza detaliată a textului proiectului.</w:t>
            </w:r>
          </w:p>
          <w:p w:rsidR="009748FC" w:rsidRPr="009748FC" w:rsidRDefault="009748FC" w:rsidP="009748FC">
            <w:pPr>
              <w:spacing w:after="0" w:line="240" w:lineRule="auto"/>
              <w:rPr>
                <w:rFonts w:ascii="Times New Roman" w:eastAsia="Times New Roman" w:hAnsi="Times New Roman" w:cs="Times New Roman"/>
                <w:lang w:eastAsia="ro-RO"/>
              </w:rPr>
            </w:pPr>
          </w:p>
          <w:tbl>
            <w:tblPr>
              <w:tblW w:w="0" w:type="auto"/>
              <w:jc w:val="center"/>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4A0" w:firstRow="1" w:lastRow="0" w:firstColumn="1" w:lastColumn="0" w:noHBand="0" w:noVBand="1"/>
            </w:tblPr>
            <w:tblGrid>
              <w:gridCol w:w="329"/>
              <w:gridCol w:w="795"/>
              <w:gridCol w:w="2213"/>
              <w:gridCol w:w="2267"/>
              <w:gridCol w:w="1927"/>
              <w:gridCol w:w="1525"/>
            </w:tblGrid>
            <w:tr w:rsidR="009748FC" w:rsidRPr="009748FC" w:rsidTr="009748FC">
              <w:trPr>
                <w:jc w:val="center"/>
              </w:trPr>
              <w:tc>
                <w:tcPr>
                  <w:tcW w:w="450" w:type="dxa"/>
                  <w:tcBorders>
                    <w:top w:val="outset" w:sz="6" w:space="0" w:color="FFFFFF"/>
                    <w:left w:val="outset" w:sz="6" w:space="0" w:color="FFFFFF"/>
                    <w:bottom w:val="outset" w:sz="6" w:space="0" w:color="FFFFFF"/>
                    <w:right w:val="outset" w:sz="6" w:space="0" w:color="FFFFFF"/>
                  </w:tcBorders>
                  <w:shd w:val="clear" w:color="auto" w:fill="C0C0C0"/>
                  <w:tcMar>
                    <w:top w:w="0" w:type="dxa"/>
                    <w:left w:w="0" w:type="dxa"/>
                    <w:bottom w:w="0" w:type="dxa"/>
                    <w:right w:w="0" w:type="dxa"/>
                  </w:tcMar>
                  <w:hideMark/>
                </w:tcPr>
                <w:p w:rsidR="009748FC" w:rsidRPr="009748FC" w:rsidRDefault="009748FC" w:rsidP="009748FC">
                  <w:pPr>
                    <w:spacing w:after="0" w:line="240" w:lineRule="auto"/>
                    <w:jc w:val="center"/>
                    <w:rPr>
                      <w:rFonts w:ascii="Times New Roman" w:eastAsia="Times New Roman" w:hAnsi="Times New Roman" w:cs="Times New Roman"/>
                      <w:lang w:eastAsia="ro-RO"/>
                    </w:rPr>
                  </w:pPr>
                  <w:r w:rsidRPr="009748FC">
                    <w:rPr>
                      <w:rFonts w:ascii="Times New Roman" w:eastAsia="Times New Roman" w:hAnsi="Times New Roman" w:cs="Times New Roman"/>
                      <w:b/>
                      <w:bCs/>
                      <w:lang w:eastAsia="ro-RO"/>
                    </w:rPr>
                    <w:t>Nr.</w:t>
                  </w:r>
                </w:p>
              </w:tc>
              <w:tc>
                <w:tcPr>
                  <w:tcW w:w="900" w:type="dxa"/>
                  <w:tcBorders>
                    <w:top w:val="outset" w:sz="6" w:space="0" w:color="FFFFFF"/>
                    <w:left w:val="outset" w:sz="6" w:space="0" w:color="FFFFFF"/>
                    <w:bottom w:val="outset" w:sz="6" w:space="0" w:color="FFFFFF"/>
                    <w:right w:val="outset" w:sz="6" w:space="0" w:color="FFFFFF"/>
                  </w:tcBorders>
                  <w:shd w:val="clear" w:color="auto" w:fill="DFDFDF"/>
                  <w:tcMar>
                    <w:top w:w="0" w:type="dxa"/>
                    <w:left w:w="0" w:type="dxa"/>
                    <w:bottom w:w="0" w:type="dxa"/>
                    <w:right w:w="0" w:type="dxa"/>
                  </w:tcMar>
                  <w:hideMark/>
                </w:tcPr>
                <w:p w:rsidR="009748FC" w:rsidRPr="009748FC" w:rsidRDefault="009748FC" w:rsidP="009748FC">
                  <w:pPr>
                    <w:spacing w:after="0" w:line="240" w:lineRule="auto"/>
                    <w:jc w:val="center"/>
                    <w:rPr>
                      <w:rFonts w:ascii="Times New Roman" w:eastAsia="Times New Roman" w:hAnsi="Times New Roman" w:cs="Times New Roman"/>
                      <w:lang w:eastAsia="ro-RO"/>
                    </w:rPr>
                  </w:pPr>
                  <w:r w:rsidRPr="009748FC">
                    <w:rPr>
                      <w:rFonts w:ascii="Times New Roman" w:eastAsia="Times New Roman" w:hAnsi="Times New Roman" w:cs="Times New Roman"/>
                      <w:b/>
                      <w:bCs/>
                      <w:lang w:eastAsia="ro-RO"/>
                    </w:rPr>
                    <w:t>Articol</w:t>
                  </w:r>
                </w:p>
              </w:tc>
              <w:tc>
                <w:tcPr>
                  <w:tcW w:w="1800" w:type="dxa"/>
                  <w:tcBorders>
                    <w:top w:val="outset" w:sz="6" w:space="0" w:color="FFFFFF"/>
                    <w:left w:val="outset" w:sz="6" w:space="0" w:color="FFFFFF"/>
                    <w:bottom w:val="outset" w:sz="6" w:space="0" w:color="FFFFFF"/>
                    <w:right w:val="outset" w:sz="6" w:space="0" w:color="FFFFFF"/>
                  </w:tcBorders>
                  <w:shd w:val="clear" w:color="auto" w:fill="C0C0C0"/>
                  <w:tcMar>
                    <w:top w:w="0" w:type="dxa"/>
                    <w:left w:w="0" w:type="dxa"/>
                    <w:bottom w:w="0" w:type="dxa"/>
                    <w:right w:w="0" w:type="dxa"/>
                  </w:tcMar>
                  <w:hideMark/>
                </w:tcPr>
                <w:p w:rsidR="009748FC" w:rsidRPr="009748FC" w:rsidRDefault="009748FC" w:rsidP="009748FC">
                  <w:pPr>
                    <w:spacing w:after="0" w:line="240" w:lineRule="auto"/>
                    <w:jc w:val="center"/>
                    <w:rPr>
                      <w:rFonts w:ascii="Times New Roman" w:eastAsia="Times New Roman" w:hAnsi="Times New Roman" w:cs="Times New Roman"/>
                      <w:lang w:eastAsia="ro-RO"/>
                    </w:rPr>
                  </w:pPr>
                  <w:r w:rsidRPr="009748FC">
                    <w:rPr>
                      <w:rFonts w:ascii="Times New Roman" w:eastAsia="Times New Roman" w:hAnsi="Times New Roman" w:cs="Times New Roman"/>
                      <w:b/>
                      <w:bCs/>
                      <w:lang w:eastAsia="ro-RO"/>
                    </w:rPr>
                    <w:t>Text</w:t>
                  </w:r>
                </w:p>
              </w:tc>
              <w:tc>
                <w:tcPr>
                  <w:tcW w:w="3300" w:type="dxa"/>
                  <w:tcBorders>
                    <w:top w:val="outset" w:sz="6" w:space="0" w:color="FFFFFF"/>
                    <w:left w:val="outset" w:sz="6" w:space="0" w:color="FFFFFF"/>
                    <w:bottom w:val="outset" w:sz="6" w:space="0" w:color="FFFFFF"/>
                    <w:right w:val="outset" w:sz="6" w:space="0" w:color="FFFFFF"/>
                  </w:tcBorders>
                  <w:shd w:val="clear" w:color="auto" w:fill="DFDFDF"/>
                  <w:tcMar>
                    <w:top w:w="0" w:type="dxa"/>
                    <w:left w:w="0" w:type="dxa"/>
                    <w:bottom w:w="0" w:type="dxa"/>
                    <w:right w:w="0" w:type="dxa"/>
                  </w:tcMar>
                  <w:hideMark/>
                </w:tcPr>
                <w:p w:rsidR="009748FC" w:rsidRPr="009748FC" w:rsidRDefault="009748FC" w:rsidP="009748FC">
                  <w:pPr>
                    <w:spacing w:after="0" w:line="240" w:lineRule="auto"/>
                    <w:jc w:val="center"/>
                    <w:rPr>
                      <w:rFonts w:ascii="Times New Roman" w:eastAsia="Times New Roman" w:hAnsi="Times New Roman" w:cs="Times New Roman"/>
                      <w:lang w:eastAsia="ro-RO"/>
                    </w:rPr>
                  </w:pPr>
                  <w:r w:rsidRPr="009748FC">
                    <w:rPr>
                      <w:rFonts w:ascii="Times New Roman" w:eastAsia="Times New Roman" w:hAnsi="Times New Roman" w:cs="Times New Roman"/>
                      <w:b/>
                      <w:bCs/>
                      <w:lang w:eastAsia="ro-RO"/>
                    </w:rPr>
                    <w:t>Obiecţii</w:t>
                  </w:r>
                </w:p>
              </w:tc>
              <w:tc>
                <w:tcPr>
                  <w:tcW w:w="2700" w:type="dxa"/>
                  <w:tcBorders>
                    <w:top w:val="outset" w:sz="6" w:space="0" w:color="FFFFFF"/>
                    <w:left w:val="outset" w:sz="6" w:space="0" w:color="FFFFFF"/>
                    <w:bottom w:val="outset" w:sz="6" w:space="0" w:color="FFFFFF"/>
                    <w:right w:val="outset" w:sz="6" w:space="0" w:color="FFFFFF"/>
                  </w:tcBorders>
                  <w:shd w:val="clear" w:color="auto" w:fill="C0C0C0"/>
                  <w:tcMar>
                    <w:top w:w="0" w:type="dxa"/>
                    <w:left w:w="0" w:type="dxa"/>
                    <w:bottom w:w="0" w:type="dxa"/>
                    <w:right w:w="0" w:type="dxa"/>
                  </w:tcMar>
                  <w:hideMark/>
                </w:tcPr>
                <w:p w:rsidR="009748FC" w:rsidRPr="009748FC" w:rsidRDefault="009748FC" w:rsidP="009748FC">
                  <w:pPr>
                    <w:spacing w:after="0" w:line="240" w:lineRule="auto"/>
                    <w:jc w:val="center"/>
                    <w:rPr>
                      <w:rFonts w:ascii="Times New Roman" w:eastAsia="Times New Roman" w:hAnsi="Times New Roman" w:cs="Times New Roman"/>
                      <w:lang w:eastAsia="ro-RO"/>
                    </w:rPr>
                  </w:pPr>
                  <w:r w:rsidRPr="009748FC">
                    <w:rPr>
                      <w:rFonts w:ascii="Times New Roman" w:eastAsia="Times New Roman" w:hAnsi="Times New Roman" w:cs="Times New Roman"/>
                      <w:b/>
                      <w:bCs/>
                      <w:lang w:eastAsia="ro-RO"/>
                    </w:rPr>
                    <w:t>Factorii de vulnerabilitate</w:t>
                  </w:r>
                </w:p>
              </w:tc>
              <w:tc>
                <w:tcPr>
                  <w:tcW w:w="1800" w:type="dxa"/>
                  <w:tcBorders>
                    <w:top w:val="outset" w:sz="6" w:space="0" w:color="FFFFFF"/>
                    <w:left w:val="outset" w:sz="6" w:space="0" w:color="FFFFFF"/>
                    <w:bottom w:val="outset" w:sz="6" w:space="0" w:color="FFFFFF"/>
                    <w:right w:val="outset" w:sz="6" w:space="0" w:color="FFFFFF"/>
                  </w:tcBorders>
                  <w:shd w:val="clear" w:color="auto" w:fill="DFDFDF"/>
                  <w:tcMar>
                    <w:top w:w="0" w:type="dxa"/>
                    <w:left w:w="0" w:type="dxa"/>
                    <w:bottom w:w="0" w:type="dxa"/>
                    <w:right w:w="0" w:type="dxa"/>
                  </w:tcMar>
                  <w:hideMark/>
                </w:tcPr>
                <w:p w:rsidR="009748FC" w:rsidRPr="009748FC" w:rsidRDefault="009748FC" w:rsidP="009748FC">
                  <w:pPr>
                    <w:spacing w:after="0" w:line="240" w:lineRule="auto"/>
                    <w:jc w:val="center"/>
                    <w:rPr>
                      <w:rFonts w:ascii="Times New Roman" w:eastAsia="Times New Roman" w:hAnsi="Times New Roman" w:cs="Times New Roman"/>
                      <w:lang w:eastAsia="ro-RO"/>
                    </w:rPr>
                  </w:pPr>
                  <w:r w:rsidRPr="009748FC">
                    <w:rPr>
                      <w:rFonts w:ascii="Times New Roman" w:eastAsia="Times New Roman" w:hAnsi="Times New Roman" w:cs="Times New Roman"/>
                      <w:b/>
                      <w:bCs/>
                      <w:lang w:eastAsia="ro-RO"/>
                    </w:rPr>
                    <w:t>Recomandări</w:t>
                  </w:r>
                </w:p>
              </w:tc>
            </w:tr>
            <w:tr w:rsidR="009748FC" w:rsidRPr="009748FC" w:rsidTr="009748FC">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C0C0C0"/>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1</w:t>
                  </w:r>
                </w:p>
              </w:tc>
              <w:tc>
                <w:tcPr>
                  <w:tcW w:w="0" w:type="auto"/>
                  <w:tcBorders>
                    <w:top w:val="outset" w:sz="6" w:space="0" w:color="FFFFFF"/>
                    <w:left w:val="outset" w:sz="6" w:space="0" w:color="FFFFFF"/>
                    <w:bottom w:val="outset" w:sz="6" w:space="0" w:color="FFFFFF"/>
                    <w:right w:val="outset" w:sz="6" w:space="0" w:color="FFFFFF"/>
                  </w:tcBorders>
                  <w:shd w:val="clear" w:color="auto" w:fill="DFDFDF"/>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Clauza de adoptare</w:t>
                  </w:r>
                </w:p>
              </w:tc>
              <w:tc>
                <w:tcPr>
                  <w:tcW w:w="0" w:type="auto"/>
                  <w:tcBorders>
                    <w:top w:val="outset" w:sz="6" w:space="0" w:color="FFFFFF"/>
                    <w:left w:val="outset" w:sz="6" w:space="0" w:color="FFFFFF"/>
                    <w:bottom w:val="outset" w:sz="6" w:space="0" w:color="FFFFFF"/>
                    <w:right w:val="outset" w:sz="6" w:space="0" w:color="FFFFFF"/>
                  </w:tcBorders>
                  <w:shd w:val="clear" w:color="auto" w:fill="C0C0C0"/>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 în temeiul art. 72 alin. (4) din Constituţia Republicii Moldova, Parlamentul adoptă prezenta lege ordinară.</w:t>
                  </w:r>
                </w:p>
              </w:tc>
              <w:tc>
                <w:tcPr>
                  <w:tcW w:w="0" w:type="auto"/>
                  <w:tcBorders>
                    <w:top w:val="outset" w:sz="6" w:space="0" w:color="FFFFFF"/>
                    <w:left w:val="outset" w:sz="6" w:space="0" w:color="FFFFFF"/>
                    <w:bottom w:val="outset" w:sz="6" w:space="0" w:color="FFFFFF"/>
                    <w:right w:val="outset" w:sz="6" w:space="0" w:color="FFFFFF"/>
                  </w:tcBorders>
                  <w:shd w:val="clear" w:color="auto" w:fill="DFDFDF"/>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 xml:space="preserve">În conformitate cu art. 72 alin. (3) lit. p) din Constituţia RM, prin lege organică se reglementează celelalte domenii pentru care, în Constituţie, se prevede adoptarea de legi organice. Pornind de la prevederile art. 41 alin. (7) din Constituţia RM, care prescriu că funcţiile publice ai căror titulari nu pot face parte din partide se stabilesc prin lege organică, proiectul ar trebui să fie un proiect de lege organică. Or, proiectul, în virtutea art. 22 alin. (1) alin. c) din proiect, interzice Comisarului pentru etică să facă parte din partide şi din alte organizaţii social-politice. Trebuie să recunoaştem că proiectul nu clarifică statutul Comisarului pentru etică. Însă, pornind de la prevederile art. 20 alin. (4) din proiect, care prevede că demiterea acestuia trebuie să fie precedată de o anchetă de serviciu efectuată conform Legii nr. 158 din 04.07.2008 cu privire la funcţia publică şi statutul funcţionarului public, intuim că funcţia de Comisar pentru etică va </w:t>
                  </w:r>
                  <w:r w:rsidRPr="009748FC">
                    <w:rPr>
                      <w:rFonts w:ascii="Times New Roman" w:eastAsia="Times New Roman" w:hAnsi="Times New Roman" w:cs="Times New Roman"/>
                      <w:lang w:eastAsia="ro-RO"/>
                    </w:rPr>
                    <w:lastRenderedPageBreak/>
                    <w:t>fi funcţie publică.</w:t>
                  </w:r>
                </w:p>
              </w:tc>
              <w:tc>
                <w:tcPr>
                  <w:tcW w:w="0" w:type="auto"/>
                  <w:tcBorders>
                    <w:top w:val="outset" w:sz="6" w:space="0" w:color="FFFFFF"/>
                    <w:left w:val="outset" w:sz="6" w:space="0" w:color="FFFFFF"/>
                    <w:bottom w:val="outset" w:sz="6" w:space="0" w:color="FFFFFF"/>
                    <w:right w:val="outset" w:sz="6" w:space="0" w:color="FFFFFF"/>
                  </w:tcBorders>
                  <w:shd w:val="clear" w:color="auto" w:fill="C0C0C0"/>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b/>
                      <w:bCs/>
                      <w:i/>
                      <w:iCs/>
                      <w:lang w:eastAsia="ro-RO"/>
                    </w:rPr>
                    <w:lastRenderedPageBreak/>
                    <w:t>Vulnerabilitate</w:t>
                  </w:r>
                  <w:r w:rsidRPr="009748FC">
                    <w:rPr>
                      <w:rFonts w:ascii="Times New Roman" w:eastAsia="Times New Roman" w:hAnsi="Times New Roman" w:cs="Times New Roman"/>
                      <w:lang w:eastAsia="ro-RO"/>
                    </w:rPr>
                    <w:br/>
                    <w:t>Prevederi necorespunzătoare normelor constituţionale;</w:t>
                  </w:r>
                  <w:r w:rsidRPr="009748FC">
                    <w:rPr>
                      <w:rFonts w:ascii="Times New Roman" w:eastAsia="Times New Roman" w:hAnsi="Times New Roman" w:cs="Times New Roman"/>
                      <w:lang w:eastAsia="ro-RO"/>
                    </w:rPr>
                    <w:br/>
                  </w:r>
                </w:p>
              </w:tc>
              <w:tc>
                <w:tcPr>
                  <w:tcW w:w="0" w:type="auto"/>
                  <w:tcBorders>
                    <w:top w:val="outset" w:sz="6" w:space="0" w:color="FFFFFF"/>
                    <w:left w:val="outset" w:sz="6" w:space="0" w:color="FFFFFF"/>
                    <w:bottom w:val="outset" w:sz="6" w:space="0" w:color="FFFFFF"/>
                    <w:right w:val="outset" w:sz="6" w:space="0" w:color="FFFFFF"/>
                  </w:tcBorders>
                  <w:shd w:val="clear" w:color="auto" w:fill="DFDFDF"/>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Eventuala promovare şi examinare a proiectului în calitate de proiect de lege organică, respectiv modificînd temeiul legal de adoptare a actului.</w:t>
                  </w:r>
                </w:p>
              </w:tc>
            </w:tr>
            <w:tr w:rsidR="009748FC" w:rsidRPr="009748FC" w:rsidTr="009748FC">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C0C0C0"/>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lastRenderedPageBreak/>
                    <w:t>2</w:t>
                  </w:r>
                </w:p>
              </w:tc>
              <w:tc>
                <w:tcPr>
                  <w:tcW w:w="0" w:type="auto"/>
                  <w:tcBorders>
                    <w:top w:val="outset" w:sz="6" w:space="0" w:color="FFFFFF"/>
                    <w:left w:val="outset" w:sz="6" w:space="0" w:color="FFFFFF"/>
                    <w:bottom w:val="outset" w:sz="6" w:space="0" w:color="FFFFFF"/>
                    <w:right w:val="outset" w:sz="6" w:space="0" w:color="FFFFFF"/>
                  </w:tcBorders>
                  <w:shd w:val="clear" w:color="auto" w:fill="DFDFDF"/>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Art. 2 lit. b)</w:t>
                  </w:r>
                </w:p>
              </w:tc>
              <w:tc>
                <w:tcPr>
                  <w:tcW w:w="0" w:type="auto"/>
                  <w:tcBorders>
                    <w:top w:val="outset" w:sz="6" w:space="0" w:color="FFFFFF"/>
                    <w:left w:val="outset" w:sz="6" w:space="0" w:color="FFFFFF"/>
                    <w:bottom w:val="outset" w:sz="6" w:space="0" w:color="FFFFFF"/>
                    <w:right w:val="outset" w:sz="6" w:space="0" w:color="FFFFFF"/>
                  </w:tcBorders>
                  <w:shd w:val="clear" w:color="auto" w:fill="C0C0C0"/>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Articolul 2. Noţiuni</w:t>
                  </w:r>
                </w:p>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w:t>
                  </w:r>
                </w:p>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b) Comisarul pentru etică - persoana investită oficial cu atribuţii de supraveghere a eticii şi conduitei deputaţilor, pe care le execută în baza legii;</w:t>
                  </w:r>
                </w:p>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w:t>
                  </w:r>
                </w:p>
              </w:tc>
              <w:tc>
                <w:tcPr>
                  <w:tcW w:w="0" w:type="auto"/>
                  <w:tcBorders>
                    <w:top w:val="outset" w:sz="6" w:space="0" w:color="FFFFFF"/>
                    <w:left w:val="outset" w:sz="6" w:space="0" w:color="FFFFFF"/>
                    <w:bottom w:val="outset" w:sz="6" w:space="0" w:color="FFFFFF"/>
                    <w:right w:val="outset" w:sz="6" w:space="0" w:color="FFFFFF"/>
                  </w:tcBorders>
                  <w:shd w:val="clear" w:color="auto" w:fill="DFDFDF"/>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Proiectul nu clarifică statutul Comisarului pentru etică. Pornind de la prevederile art. 20 alin. (4) din proiect, care prevede că demiterea acestuia trebuie să fie precedată de o anchetă de serviciu efectuată conform Legii nr. 158 din 04.07.2008 cu privire la funcţia publică şi statutul funcţionarului public, intuim că funcţia de Comisar pentru etică va fi funcţie publică. Oricum, acest lucru trebuie să fie clarificat. Or, această lacună ar putea să aducă atingere drepturilor persoanei, care va fi numită în această funcţie.</w:t>
                  </w:r>
                </w:p>
              </w:tc>
              <w:tc>
                <w:tcPr>
                  <w:tcW w:w="0" w:type="auto"/>
                  <w:tcBorders>
                    <w:top w:val="outset" w:sz="6" w:space="0" w:color="FFFFFF"/>
                    <w:left w:val="outset" w:sz="6" w:space="0" w:color="FFFFFF"/>
                    <w:bottom w:val="outset" w:sz="6" w:space="0" w:color="FFFFFF"/>
                    <w:right w:val="outset" w:sz="6" w:space="0" w:color="FFFFFF"/>
                  </w:tcBorders>
                  <w:shd w:val="clear" w:color="auto" w:fill="C0C0C0"/>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b/>
                      <w:bCs/>
                      <w:i/>
                      <w:iCs/>
                      <w:lang w:eastAsia="ro-RO"/>
                    </w:rPr>
                    <w:t>Vulnerabilitate</w:t>
                  </w:r>
                  <w:r w:rsidRPr="009748FC">
                    <w:rPr>
                      <w:rFonts w:ascii="Times New Roman" w:eastAsia="Times New Roman" w:hAnsi="Times New Roman" w:cs="Times New Roman"/>
                      <w:lang w:eastAsia="ro-RO"/>
                    </w:rPr>
                    <w:br/>
                    <w:t>Lacună de drept, care ar putea să aducă atingere drepturilor persoanei;</w:t>
                  </w:r>
                  <w:r w:rsidRPr="009748FC">
                    <w:rPr>
                      <w:rFonts w:ascii="Times New Roman" w:eastAsia="Times New Roman" w:hAnsi="Times New Roman" w:cs="Times New Roman"/>
                      <w:lang w:eastAsia="ro-RO"/>
                    </w:rPr>
                    <w:br/>
                  </w:r>
                </w:p>
              </w:tc>
              <w:tc>
                <w:tcPr>
                  <w:tcW w:w="0" w:type="auto"/>
                  <w:tcBorders>
                    <w:top w:val="outset" w:sz="6" w:space="0" w:color="FFFFFF"/>
                    <w:left w:val="outset" w:sz="6" w:space="0" w:color="FFFFFF"/>
                    <w:bottom w:val="outset" w:sz="6" w:space="0" w:color="FFFFFF"/>
                    <w:right w:val="outset" w:sz="6" w:space="0" w:color="FFFFFF"/>
                  </w:tcBorders>
                  <w:shd w:val="clear" w:color="auto" w:fill="DFDFDF"/>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Clarificarea regimului funcţiei de Comisar pentru etică.</w:t>
                  </w:r>
                </w:p>
              </w:tc>
            </w:tr>
            <w:tr w:rsidR="009748FC" w:rsidRPr="009748FC" w:rsidTr="009748FC">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C0C0C0"/>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3</w:t>
                  </w:r>
                </w:p>
              </w:tc>
              <w:tc>
                <w:tcPr>
                  <w:tcW w:w="0" w:type="auto"/>
                  <w:tcBorders>
                    <w:top w:val="outset" w:sz="6" w:space="0" w:color="FFFFFF"/>
                    <w:left w:val="outset" w:sz="6" w:space="0" w:color="FFFFFF"/>
                    <w:bottom w:val="outset" w:sz="6" w:space="0" w:color="FFFFFF"/>
                    <w:right w:val="outset" w:sz="6" w:space="0" w:color="FFFFFF"/>
                  </w:tcBorders>
                  <w:shd w:val="clear" w:color="auto" w:fill="DFDFDF"/>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Art. 12</w:t>
                  </w:r>
                </w:p>
              </w:tc>
              <w:tc>
                <w:tcPr>
                  <w:tcW w:w="0" w:type="auto"/>
                  <w:tcBorders>
                    <w:top w:val="outset" w:sz="6" w:space="0" w:color="FFFFFF"/>
                    <w:left w:val="outset" w:sz="6" w:space="0" w:color="FFFFFF"/>
                    <w:bottom w:val="outset" w:sz="6" w:space="0" w:color="FFFFFF"/>
                    <w:right w:val="outset" w:sz="6" w:space="0" w:color="FFFFFF"/>
                  </w:tcBorders>
                  <w:shd w:val="clear" w:color="auto" w:fill="C0C0C0"/>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Potrivit textului din proiect.</w:t>
                  </w:r>
                </w:p>
              </w:tc>
              <w:tc>
                <w:tcPr>
                  <w:tcW w:w="0" w:type="auto"/>
                  <w:tcBorders>
                    <w:top w:val="outset" w:sz="6" w:space="0" w:color="FFFFFF"/>
                    <w:left w:val="outset" w:sz="6" w:space="0" w:color="FFFFFF"/>
                    <w:bottom w:val="outset" w:sz="6" w:space="0" w:color="FFFFFF"/>
                    <w:right w:val="outset" w:sz="6" w:space="0" w:color="FFFFFF"/>
                  </w:tcBorders>
                  <w:shd w:val="clear" w:color="auto" w:fill="DFDFDF"/>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 xml:space="preserve">Prevederi care dublează, iar în unele privinţe contravin prevederilor din art. 23 din Legea nr. 16 din 15.02.2008 cu privire la conflictul de interese. Mai mult, prevederile din alin. (6) din proiect, care stabileşte că modul de evaluare, evidenţă, păstrare, utilizare şi răscumpărare a cadourilor este reglementat de Biroul Permanent a Parlamentului şi implementată de Comisarul pentru etică, sînt norme de blanchetă, ce ar putea aduce atingere dreptului persoanei de a avea acces la informaţii. Regulamentul Parlamentului nu prescrie obligativitatea publicării hotărîrilor Biroului permanent. În </w:t>
                  </w:r>
                  <w:r w:rsidRPr="009748FC">
                    <w:rPr>
                      <w:rFonts w:ascii="Times New Roman" w:eastAsia="Times New Roman" w:hAnsi="Times New Roman" w:cs="Times New Roman"/>
                      <w:lang w:eastAsia="ro-RO"/>
                    </w:rPr>
                    <w:lastRenderedPageBreak/>
                    <w:t>practică, Biroul permanent evită să dea publicităţii hotărîrile adoptate. Chiar dacă acestea poartă un caracter normativ şi sînt de interes public, unele hotărîri ale Biroul permanent nu sînt publicate nici pe web site-ul Parlamentului. În atare condiţii, persoanele interesate ar putea fi îngrădite în a accesa informaţii ce ţin de domeniul reglementat sau ar putea să fie constrînşi să depună eforturi suplimentare (solicitări exprese în scris) pentru a se documenta, fapt care nu poate să nu-i descurajeze. Mai mult, în aceste circumstanţe, ar putea să se aducă atingere şi Dreptului de a-şi cunoaşte drepturile şi îndatoririle, garantat prin art. 23 din Constituţia RM, aplicabil şi deputaţilor.</w:t>
                  </w:r>
                </w:p>
              </w:tc>
              <w:tc>
                <w:tcPr>
                  <w:tcW w:w="0" w:type="auto"/>
                  <w:tcBorders>
                    <w:top w:val="outset" w:sz="6" w:space="0" w:color="FFFFFF"/>
                    <w:left w:val="outset" w:sz="6" w:space="0" w:color="FFFFFF"/>
                    <w:bottom w:val="outset" w:sz="6" w:space="0" w:color="FFFFFF"/>
                    <w:right w:val="outset" w:sz="6" w:space="0" w:color="FFFFFF"/>
                  </w:tcBorders>
                  <w:shd w:val="clear" w:color="auto" w:fill="C0C0C0"/>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b/>
                      <w:bCs/>
                      <w:i/>
                      <w:iCs/>
                      <w:lang w:eastAsia="ro-RO"/>
                    </w:rPr>
                    <w:lastRenderedPageBreak/>
                    <w:t>Vulnerabilitate</w:t>
                  </w:r>
                  <w:r w:rsidRPr="009748FC">
                    <w:rPr>
                      <w:rFonts w:ascii="Times New Roman" w:eastAsia="Times New Roman" w:hAnsi="Times New Roman" w:cs="Times New Roman"/>
                      <w:lang w:eastAsia="ro-RO"/>
                    </w:rPr>
                    <w:br/>
                    <w:t>Prevederi necorespunzătoare normelor din legislaţia corelativă;</w:t>
                  </w:r>
                  <w:r w:rsidRPr="009748FC">
                    <w:rPr>
                      <w:rFonts w:ascii="Times New Roman" w:eastAsia="Times New Roman" w:hAnsi="Times New Roman" w:cs="Times New Roman"/>
                      <w:lang w:eastAsia="ro-RO"/>
                    </w:rPr>
                    <w:br/>
                    <w:t>Prevederi care încalcă drepturile/libertăţile;</w:t>
                  </w:r>
                  <w:r w:rsidRPr="009748FC">
                    <w:rPr>
                      <w:rFonts w:ascii="Times New Roman" w:eastAsia="Times New Roman" w:hAnsi="Times New Roman" w:cs="Times New Roman"/>
                      <w:lang w:eastAsia="ro-RO"/>
                    </w:rPr>
                    <w:br/>
                    <w:t>Norme de blanchetă care ar putea să aducă atingere drepturilor persoanei;</w:t>
                  </w:r>
                  <w:r w:rsidRPr="009748FC">
                    <w:rPr>
                      <w:rFonts w:ascii="Times New Roman" w:eastAsia="Times New Roman" w:hAnsi="Times New Roman" w:cs="Times New Roman"/>
                      <w:lang w:eastAsia="ro-RO"/>
                    </w:rPr>
                    <w:br/>
                  </w:r>
                </w:p>
              </w:tc>
              <w:tc>
                <w:tcPr>
                  <w:tcW w:w="0" w:type="auto"/>
                  <w:tcBorders>
                    <w:top w:val="outset" w:sz="6" w:space="0" w:color="FFFFFF"/>
                    <w:left w:val="outset" w:sz="6" w:space="0" w:color="FFFFFF"/>
                    <w:bottom w:val="outset" w:sz="6" w:space="0" w:color="FFFFFF"/>
                    <w:right w:val="outset" w:sz="6" w:space="0" w:color="FFFFFF"/>
                  </w:tcBorders>
                  <w:shd w:val="clear" w:color="auto" w:fill="DFDFDF"/>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Revizuire potrivit obiecţiei.</w:t>
                  </w:r>
                </w:p>
              </w:tc>
            </w:tr>
            <w:tr w:rsidR="009748FC" w:rsidRPr="009748FC" w:rsidTr="009748FC">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C0C0C0"/>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lastRenderedPageBreak/>
                    <w:t>4</w:t>
                  </w:r>
                </w:p>
              </w:tc>
              <w:tc>
                <w:tcPr>
                  <w:tcW w:w="0" w:type="auto"/>
                  <w:tcBorders>
                    <w:top w:val="outset" w:sz="6" w:space="0" w:color="FFFFFF"/>
                    <w:left w:val="outset" w:sz="6" w:space="0" w:color="FFFFFF"/>
                    <w:bottom w:val="outset" w:sz="6" w:space="0" w:color="FFFFFF"/>
                    <w:right w:val="outset" w:sz="6" w:space="0" w:color="FFFFFF"/>
                  </w:tcBorders>
                  <w:shd w:val="clear" w:color="auto" w:fill="DFDFDF"/>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Art. 15</w:t>
                  </w:r>
                </w:p>
              </w:tc>
              <w:tc>
                <w:tcPr>
                  <w:tcW w:w="0" w:type="auto"/>
                  <w:tcBorders>
                    <w:top w:val="outset" w:sz="6" w:space="0" w:color="FFFFFF"/>
                    <w:left w:val="outset" w:sz="6" w:space="0" w:color="FFFFFF"/>
                    <w:bottom w:val="outset" w:sz="6" w:space="0" w:color="FFFFFF"/>
                    <w:right w:val="outset" w:sz="6" w:space="0" w:color="FFFFFF"/>
                  </w:tcBorders>
                  <w:shd w:val="clear" w:color="auto" w:fill="C0C0C0"/>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Articolul 15. Interzicerea votului în favoarea terţei persoane şi în cazul conflictului de interese</w:t>
                  </w:r>
                </w:p>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(1) În cadrul exercitării atribuţiilor parlamentare, deputatul nu are dreptul să încheie nici o înţelegere pentru a acţiona sau vota în interesul unei terţe persoane, fizice sau juridice, care ar putea compromite libertatea de vot, astfel cum este consacrat în Constituţia Republicii Moldova.</w:t>
                  </w:r>
                </w:p>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 xml:space="preserve">(2) Deputatul nu are dreptul să voteze un proiect de lege în caz de </w:t>
                  </w:r>
                  <w:r w:rsidRPr="009748FC">
                    <w:rPr>
                      <w:rFonts w:ascii="Times New Roman" w:eastAsia="Times New Roman" w:hAnsi="Times New Roman" w:cs="Times New Roman"/>
                      <w:lang w:eastAsia="ro-RO"/>
                    </w:rPr>
                    <w:lastRenderedPageBreak/>
                    <w:t>existenţă a conflictului de interese, promovării proiectelor de legi, sau interese contra unei remunerări sau avantaje directe sau indirecte.</w:t>
                  </w:r>
                </w:p>
              </w:tc>
              <w:tc>
                <w:tcPr>
                  <w:tcW w:w="0" w:type="auto"/>
                  <w:tcBorders>
                    <w:top w:val="outset" w:sz="6" w:space="0" w:color="FFFFFF"/>
                    <w:left w:val="outset" w:sz="6" w:space="0" w:color="FFFFFF"/>
                    <w:bottom w:val="outset" w:sz="6" w:space="0" w:color="FFFFFF"/>
                    <w:right w:val="outset" w:sz="6" w:space="0" w:color="FFFFFF"/>
                  </w:tcBorders>
                  <w:shd w:val="clear" w:color="auto" w:fill="DFDFDF"/>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lastRenderedPageBreak/>
                    <w:t>Regulamentul Parlamentului nu este explicit în partea ce ţine de posibilitatea unui deputat de a se abţine în procedura de vot. În mod practic, deputatul trebuie să voteze fie "pentru", fie "contra" unui proiect.</w:t>
                  </w:r>
                </w:p>
              </w:tc>
              <w:tc>
                <w:tcPr>
                  <w:tcW w:w="0" w:type="auto"/>
                  <w:tcBorders>
                    <w:top w:val="outset" w:sz="6" w:space="0" w:color="FFFFFF"/>
                    <w:left w:val="outset" w:sz="6" w:space="0" w:color="FFFFFF"/>
                    <w:bottom w:val="outset" w:sz="6" w:space="0" w:color="FFFFFF"/>
                    <w:right w:val="outset" w:sz="6" w:space="0" w:color="FFFFFF"/>
                  </w:tcBorders>
                  <w:shd w:val="clear" w:color="auto" w:fill="C0C0C0"/>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b/>
                      <w:bCs/>
                      <w:i/>
                      <w:iCs/>
                      <w:lang w:eastAsia="ro-RO"/>
                    </w:rPr>
                    <w:t>Vulnerabilitate</w:t>
                  </w:r>
                  <w:r w:rsidRPr="009748FC">
                    <w:rPr>
                      <w:rFonts w:ascii="Times New Roman" w:eastAsia="Times New Roman" w:hAnsi="Times New Roman" w:cs="Times New Roman"/>
                      <w:lang w:eastAsia="ro-RO"/>
                    </w:rPr>
                    <w:br/>
                    <w:t>Prevederi necorespunzătoare normelor din legislaţia corelativă;</w:t>
                  </w:r>
                  <w:r w:rsidRPr="009748FC">
                    <w:rPr>
                      <w:rFonts w:ascii="Times New Roman" w:eastAsia="Times New Roman" w:hAnsi="Times New Roman" w:cs="Times New Roman"/>
                      <w:lang w:eastAsia="ro-RO"/>
                    </w:rPr>
                    <w:br/>
                  </w:r>
                </w:p>
              </w:tc>
              <w:tc>
                <w:tcPr>
                  <w:tcW w:w="0" w:type="auto"/>
                  <w:tcBorders>
                    <w:top w:val="outset" w:sz="6" w:space="0" w:color="FFFFFF"/>
                    <w:left w:val="outset" w:sz="6" w:space="0" w:color="FFFFFF"/>
                    <w:bottom w:val="outset" w:sz="6" w:space="0" w:color="FFFFFF"/>
                    <w:right w:val="outset" w:sz="6" w:space="0" w:color="FFFFFF"/>
                  </w:tcBorders>
                  <w:shd w:val="clear" w:color="auto" w:fill="DFDFDF"/>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Revizuirea prevederilor din Regulamentul Parlamentului în vederea excluderii coliziunii normelor de drept.</w:t>
                  </w:r>
                </w:p>
              </w:tc>
            </w:tr>
            <w:tr w:rsidR="009748FC" w:rsidRPr="009748FC" w:rsidTr="009748FC">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C0C0C0"/>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lastRenderedPageBreak/>
                    <w:t>5</w:t>
                  </w:r>
                </w:p>
              </w:tc>
              <w:tc>
                <w:tcPr>
                  <w:tcW w:w="0" w:type="auto"/>
                  <w:tcBorders>
                    <w:top w:val="outset" w:sz="6" w:space="0" w:color="FFFFFF"/>
                    <w:left w:val="outset" w:sz="6" w:space="0" w:color="FFFFFF"/>
                    <w:bottom w:val="outset" w:sz="6" w:space="0" w:color="FFFFFF"/>
                    <w:right w:val="outset" w:sz="6" w:space="0" w:color="FFFFFF"/>
                  </w:tcBorders>
                  <w:shd w:val="clear" w:color="auto" w:fill="DFDFDF"/>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Art. 16</w:t>
                  </w:r>
                </w:p>
              </w:tc>
              <w:tc>
                <w:tcPr>
                  <w:tcW w:w="0" w:type="auto"/>
                  <w:tcBorders>
                    <w:top w:val="outset" w:sz="6" w:space="0" w:color="FFFFFF"/>
                    <w:left w:val="outset" w:sz="6" w:space="0" w:color="FFFFFF"/>
                    <w:bottom w:val="outset" w:sz="6" w:space="0" w:color="FFFFFF"/>
                    <w:right w:val="outset" w:sz="6" w:space="0" w:color="FFFFFF"/>
                  </w:tcBorders>
                  <w:shd w:val="clear" w:color="auto" w:fill="C0C0C0"/>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Articolul 16. Declaraţia cu privire la venituri şi proprietate</w:t>
                  </w:r>
                </w:p>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w:t>
                  </w:r>
                </w:p>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Nedeclararea veniturilor şi proprietăţilor deputatului, va constitui o violare a acestor norme de conduită şi va atrage răspunderea deputatului conform prevederilor prezentului Cod.</w:t>
                  </w:r>
                </w:p>
              </w:tc>
              <w:tc>
                <w:tcPr>
                  <w:tcW w:w="0" w:type="auto"/>
                  <w:tcBorders>
                    <w:top w:val="outset" w:sz="6" w:space="0" w:color="FFFFFF"/>
                    <w:left w:val="outset" w:sz="6" w:space="0" w:color="FFFFFF"/>
                    <w:bottom w:val="outset" w:sz="6" w:space="0" w:color="FFFFFF"/>
                    <w:right w:val="outset" w:sz="6" w:space="0" w:color="FFFFFF"/>
                  </w:tcBorders>
                  <w:shd w:val="clear" w:color="auto" w:fill="DFDFDF"/>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Prevederi care contravin art. 14 din Legea nr. 1264 din 19.07.2002 privind declararea şi controlul veniturilor şi proprietăţii persoanelor cu funcţii de demnitate publică, judecătorilor, procurorilor, funcţionarilor publici şi a unor persoane cu funcţie de conducere, care prevede răspunderea disciplinară, în exclusivitate, a persoanelor responsabile de colectarea declaraţiilor în caz de neîndeplinire a obligaţiilor prevăzute de lege, pentru declaranţi fiind prevăzută răspunderea contravenţională (pentru nedepunerea declaraţiei în termenele stabilite) şi penală (pentru indicarea intenţionată în declaraţie a datelor inexacte sau incomplete).</w:t>
                  </w:r>
                </w:p>
              </w:tc>
              <w:tc>
                <w:tcPr>
                  <w:tcW w:w="0" w:type="auto"/>
                  <w:tcBorders>
                    <w:top w:val="outset" w:sz="6" w:space="0" w:color="FFFFFF"/>
                    <w:left w:val="outset" w:sz="6" w:space="0" w:color="FFFFFF"/>
                    <w:bottom w:val="outset" w:sz="6" w:space="0" w:color="FFFFFF"/>
                    <w:right w:val="outset" w:sz="6" w:space="0" w:color="FFFFFF"/>
                  </w:tcBorders>
                  <w:shd w:val="clear" w:color="auto" w:fill="C0C0C0"/>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b/>
                      <w:bCs/>
                      <w:i/>
                      <w:iCs/>
                      <w:lang w:eastAsia="ro-RO"/>
                    </w:rPr>
                    <w:t>Vulnerabilitate</w:t>
                  </w:r>
                  <w:r w:rsidRPr="009748FC">
                    <w:rPr>
                      <w:rFonts w:ascii="Times New Roman" w:eastAsia="Times New Roman" w:hAnsi="Times New Roman" w:cs="Times New Roman"/>
                      <w:lang w:eastAsia="ro-RO"/>
                    </w:rPr>
                    <w:br/>
                    <w:t>Prevederi necorespunzătoare normelor din legislaţia corelativă;</w:t>
                  </w:r>
                  <w:r w:rsidRPr="009748FC">
                    <w:rPr>
                      <w:rFonts w:ascii="Times New Roman" w:eastAsia="Times New Roman" w:hAnsi="Times New Roman" w:cs="Times New Roman"/>
                      <w:lang w:eastAsia="ro-RO"/>
                    </w:rPr>
                    <w:br/>
                  </w:r>
                </w:p>
              </w:tc>
              <w:tc>
                <w:tcPr>
                  <w:tcW w:w="0" w:type="auto"/>
                  <w:tcBorders>
                    <w:top w:val="outset" w:sz="6" w:space="0" w:color="FFFFFF"/>
                    <w:left w:val="outset" w:sz="6" w:space="0" w:color="FFFFFF"/>
                    <w:bottom w:val="outset" w:sz="6" w:space="0" w:color="FFFFFF"/>
                    <w:right w:val="outset" w:sz="6" w:space="0" w:color="FFFFFF"/>
                  </w:tcBorders>
                  <w:shd w:val="clear" w:color="auto" w:fill="DFDFDF"/>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Excluderea prevederilor.</w:t>
                  </w:r>
                </w:p>
              </w:tc>
            </w:tr>
            <w:tr w:rsidR="009748FC" w:rsidRPr="009748FC" w:rsidTr="009748FC">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C0C0C0"/>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6</w:t>
                  </w:r>
                </w:p>
              </w:tc>
              <w:tc>
                <w:tcPr>
                  <w:tcW w:w="0" w:type="auto"/>
                  <w:tcBorders>
                    <w:top w:val="outset" w:sz="6" w:space="0" w:color="FFFFFF"/>
                    <w:left w:val="outset" w:sz="6" w:space="0" w:color="FFFFFF"/>
                    <w:bottom w:val="outset" w:sz="6" w:space="0" w:color="FFFFFF"/>
                    <w:right w:val="outset" w:sz="6" w:space="0" w:color="FFFFFF"/>
                  </w:tcBorders>
                  <w:shd w:val="clear" w:color="auto" w:fill="DFDFDF"/>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Art. 17</w:t>
                  </w:r>
                </w:p>
              </w:tc>
              <w:tc>
                <w:tcPr>
                  <w:tcW w:w="0" w:type="auto"/>
                  <w:tcBorders>
                    <w:top w:val="outset" w:sz="6" w:space="0" w:color="FFFFFF"/>
                    <w:left w:val="outset" w:sz="6" w:space="0" w:color="FFFFFF"/>
                    <w:bottom w:val="outset" w:sz="6" w:space="0" w:color="FFFFFF"/>
                    <w:right w:val="outset" w:sz="6" w:space="0" w:color="FFFFFF"/>
                  </w:tcBorders>
                  <w:shd w:val="clear" w:color="auto" w:fill="C0C0C0"/>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Articolul 17. Integritatea deputaţilor</w:t>
                  </w:r>
                </w:p>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 xml:space="preserve">Deputatul nu va solicita sau accepta, direct sau indirect, plăţi, cadouri, servicii sau alte beneficii, în numele său, ai membrilor familiei sale, prietenilor, ca preţuire pentru exercitarea sau abţinerea de la îndeplinirea obligaţiilor sale în legătură cu o cauză care urmează a fi examinată de către acesta. Nerespectarea prezentei </w:t>
                  </w:r>
                  <w:r w:rsidRPr="009748FC">
                    <w:rPr>
                      <w:rFonts w:ascii="Times New Roman" w:eastAsia="Times New Roman" w:hAnsi="Times New Roman" w:cs="Times New Roman"/>
                      <w:lang w:eastAsia="ro-RO"/>
                    </w:rPr>
                    <w:lastRenderedPageBreak/>
                    <w:t>reglementări este supusă urmăririi penale, în cazul în care este încălcată valoarea cadourilor, stabilită la art. 12 a prezentului Cod.</w:t>
                  </w:r>
                </w:p>
              </w:tc>
              <w:tc>
                <w:tcPr>
                  <w:tcW w:w="0" w:type="auto"/>
                  <w:tcBorders>
                    <w:top w:val="outset" w:sz="6" w:space="0" w:color="FFFFFF"/>
                    <w:left w:val="outset" w:sz="6" w:space="0" w:color="FFFFFF"/>
                    <w:bottom w:val="outset" w:sz="6" w:space="0" w:color="FFFFFF"/>
                    <w:right w:val="outset" w:sz="6" w:space="0" w:color="FFFFFF"/>
                  </w:tcBorders>
                  <w:shd w:val="clear" w:color="auto" w:fill="DFDFDF"/>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lastRenderedPageBreak/>
                    <w:t xml:space="preserve">Prevederi inoportune, care dublează art. 23 alin. (1) din Legea nr. 16 din 15.02.2008 cu privire la conflictul de interese. Mai mult, prin excepţia din final, prevederile contravin art. 324, Corupere pasivă, din Codul penal, normele pre-citate din Codul penal neprevăzînd careva excepţii. Mai mult, aceste prevederi sînt nejustificate pornind şi de la normele din art. 12 alin. (2) din proiect, care </w:t>
                  </w:r>
                  <w:r w:rsidRPr="009748FC">
                    <w:rPr>
                      <w:rFonts w:ascii="Times New Roman" w:eastAsia="Times New Roman" w:hAnsi="Times New Roman" w:cs="Times New Roman"/>
                      <w:lang w:eastAsia="ro-RO"/>
                    </w:rPr>
                    <w:lastRenderedPageBreak/>
                    <w:t>permite acceptarea, în exclusivitate, a cadourilor simbolice oferite din politeţe sau primite cu prilejul anumitor acţiuni de protocol şi a căror valoare nu depăşeşte 50 unităţi convenţionale, de altfel proiectul neprevăzînd cuantumul unei unităţi convenţionale. Aceste norme însă nu fac permisive şi nici nu trebuie să facă permisive careva recompense ilicite, indiferent de valoarea acestora.</w:t>
                  </w:r>
                </w:p>
              </w:tc>
              <w:tc>
                <w:tcPr>
                  <w:tcW w:w="0" w:type="auto"/>
                  <w:tcBorders>
                    <w:top w:val="outset" w:sz="6" w:space="0" w:color="FFFFFF"/>
                    <w:left w:val="outset" w:sz="6" w:space="0" w:color="FFFFFF"/>
                    <w:bottom w:val="outset" w:sz="6" w:space="0" w:color="FFFFFF"/>
                    <w:right w:val="outset" w:sz="6" w:space="0" w:color="FFFFFF"/>
                  </w:tcBorders>
                  <w:shd w:val="clear" w:color="auto" w:fill="C0C0C0"/>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b/>
                      <w:bCs/>
                      <w:i/>
                      <w:iCs/>
                      <w:lang w:eastAsia="ro-RO"/>
                    </w:rPr>
                    <w:lastRenderedPageBreak/>
                    <w:t>Vulnerabilitate</w:t>
                  </w:r>
                  <w:r w:rsidRPr="009748FC">
                    <w:rPr>
                      <w:rFonts w:ascii="Times New Roman" w:eastAsia="Times New Roman" w:hAnsi="Times New Roman" w:cs="Times New Roman"/>
                      <w:lang w:eastAsia="ro-RO"/>
                    </w:rPr>
                    <w:br/>
                    <w:t>Prevederi necorespunzătoare normelor din legislaţia corelativă;</w:t>
                  </w:r>
                  <w:r w:rsidRPr="009748FC">
                    <w:rPr>
                      <w:rFonts w:ascii="Times New Roman" w:eastAsia="Times New Roman" w:hAnsi="Times New Roman" w:cs="Times New Roman"/>
                      <w:lang w:eastAsia="ro-RO"/>
                    </w:rPr>
                    <w:br/>
                  </w:r>
                </w:p>
              </w:tc>
              <w:tc>
                <w:tcPr>
                  <w:tcW w:w="0" w:type="auto"/>
                  <w:tcBorders>
                    <w:top w:val="outset" w:sz="6" w:space="0" w:color="FFFFFF"/>
                    <w:left w:val="outset" w:sz="6" w:space="0" w:color="FFFFFF"/>
                    <w:bottom w:val="outset" w:sz="6" w:space="0" w:color="FFFFFF"/>
                    <w:right w:val="outset" w:sz="6" w:space="0" w:color="FFFFFF"/>
                  </w:tcBorders>
                  <w:shd w:val="clear" w:color="auto" w:fill="DFDFDF"/>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Excluderea prevederilor. Stabilirea expresă, în proiect, a cuantumului unei unităţi convenţionale.</w:t>
                  </w:r>
                </w:p>
              </w:tc>
            </w:tr>
            <w:tr w:rsidR="009748FC" w:rsidRPr="009748FC" w:rsidTr="009748FC">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C0C0C0"/>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lastRenderedPageBreak/>
                    <w:t>7</w:t>
                  </w:r>
                </w:p>
              </w:tc>
              <w:tc>
                <w:tcPr>
                  <w:tcW w:w="0" w:type="auto"/>
                  <w:tcBorders>
                    <w:top w:val="outset" w:sz="6" w:space="0" w:color="FFFFFF"/>
                    <w:left w:val="outset" w:sz="6" w:space="0" w:color="FFFFFF"/>
                    <w:bottom w:val="outset" w:sz="6" w:space="0" w:color="FFFFFF"/>
                    <w:right w:val="outset" w:sz="6" w:space="0" w:color="FFFFFF"/>
                  </w:tcBorders>
                  <w:shd w:val="clear" w:color="auto" w:fill="DFDFDF"/>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Art. 18 alin. (2)</w:t>
                  </w:r>
                </w:p>
              </w:tc>
              <w:tc>
                <w:tcPr>
                  <w:tcW w:w="0" w:type="auto"/>
                  <w:tcBorders>
                    <w:top w:val="outset" w:sz="6" w:space="0" w:color="FFFFFF"/>
                    <w:left w:val="outset" w:sz="6" w:space="0" w:color="FFFFFF"/>
                    <w:bottom w:val="outset" w:sz="6" w:space="0" w:color="FFFFFF"/>
                    <w:right w:val="outset" w:sz="6" w:space="0" w:color="FFFFFF"/>
                  </w:tcBorders>
                  <w:shd w:val="clear" w:color="auto" w:fill="C0C0C0"/>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Articolul 18. Comisarul pentru etică</w:t>
                  </w:r>
                </w:p>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w:t>
                  </w:r>
                </w:p>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(2) Comisarul pentru etică, se încadrează în statele de personal a Secretariatului Parlamentului, dar este independent, imparţial şi se supune doar legii. El nu poate fi atras într-un litigiu civil pe motivul îndeplinirii atribuţiilor de serviciu şi rezultatele ei.</w:t>
                  </w:r>
                </w:p>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w:t>
                  </w:r>
                </w:p>
              </w:tc>
              <w:tc>
                <w:tcPr>
                  <w:tcW w:w="0" w:type="auto"/>
                  <w:tcBorders>
                    <w:top w:val="outset" w:sz="6" w:space="0" w:color="FFFFFF"/>
                    <w:left w:val="outset" w:sz="6" w:space="0" w:color="FFFFFF"/>
                    <w:bottom w:val="outset" w:sz="6" w:space="0" w:color="FFFFFF"/>
                    <w:right w:val="outset" w:sz="6" w:space="0" w:color="FFFFFF"/>
                  </w:tcBorders>
                  <w:shd w:val="clear" w:color="auto" w:fill="DFDFDF"/>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Prevederi care contravin art. 20 din Constituţia Republicii Moldova, Accesul liber la justiţie, care oferă oricărei persoane dreptul la satisfacţie efectivă din partea instanţelor judecătoreşti competente împotriva actelor care violează drepturile, libertăţile şi interesele sale legitime. Nici o lege nu poate îngrădi accesul la justiţie.</w:t>
                  </w:r>
                </w:p>
              </w:tc>
              <w:tc>
                <w:tcPr>
                  <w:tcW w:w="0" w:type="auto"/>
                  <w:tcBorders>
                    <w:top w:val="outset" w:sz="6" w:space="0" w:color="FFFFFF"/>
                    <w:left w:val="outset" w:sz="6" w:space="0" w:color="FFFFFF"/>
                    <w:bottom w:val="outset" w:sz="6" w:space="0" w:color="FFFFFF"/>
                    <w:right w:val="outset" w:sz="6" w:space="0" w:color="FFFFFF"/>
                  </w:tcBorders>
                  <w:shd w:val="clear" w:color="auto" w:fill="C0C0C0"/>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b/>
                      <w:bCs/>
                      <w:i/>
                      <w:iCs/>
                      <w:lang w:eastAsia="ro-RO"/>
                    </w:rPr>
                    <w:t>Vulnerabilitate</w:t>
                  </w:r>
                  <w:r w:rsidRPr="009748FC">
                    <w:rPr>
                      <w:rFonts w:ascii="Times New Roman" w:eastAsia="Times New Roman" w:hAnsi="Times New Roman" w:cs="Times New Roman"/>
                      <w:lang w:eastAsia="ro-RO"/>
                    </w:rPr>
                    <w:br/>
                    <w:t>Prevederi care încalcă drepturile/libertăţile;</w:t>
                  </w:r>
                  <w:r w:rsidRPr="009748FC">
                    <w:rPr>
                      <w:rFonts w:ascii="Times New Roman" w:eastAsia="Times New Roman" w:hAnsi="Times New Roman" w:cs="Times New Roman"/>
                      <w:lang w:eastAsia="ro-RO"/>
                    </w:rPr>
                    <w:br/>
                  </w:r>
                </w:p>
              </w:tc>
              <w:tc>
                <w:tcPr>
                  <w:tcW w:w="0" w:type="auto"/>
                  <w:tcBorders>
                    <w:top w:val="outset" w:sz="6" w:space="0" w:color="FFFFFF"/>
                    <w:left w:val="outset" w:sz="6" w:space="0" w:color="FFFFFF"/>
                    <w:bottom w:val="outset" w:sz="6" w:space="0" w:color="FFFFFF"/>
                    <w:right w:val="outset" w:sz="6" w:space="0" w:color="FFFFFF"/>
                  </w:tcBorders>
                  <w:shd w:val="clear" w:color="auto" w:fill="DFDFDF"/>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Excluderea celei de-a doua frază din alineat.</w:t>
                  </w:r>
                </w:p>
              </w:tc>
            </w:tr>
            <w:tr w:rsidR="009748FC" w:rsidRPr="009748FC" w:rsidTr="009748FC">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C0C0C0"/>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8</w:t>
                  </w:r>
                </w:p>
              </w:tc>
              <w:tc>
                <w:tcPr>
                  <w:tcW w:w="0" w:type="auto"/>
                  <w:tcBorders>
                    <w:top w:val="outset" w:sz="6" w:space="0" w:color="FFFFFF"/>
                    <w:left w:val="outset" w:sz="6" w:space="0" w:color="FFFFFF"/>
                    <w:bottom w:val="outset" w:sz="6" w:space="0" w:color="FFFFFF"/>
                    <w:right w:val="outset" w:sz="6" w:space="0" w:color="FFFFFF"/>
                  </w:tcBorders>
                  <w:shd w:val="clear" w:color="auto" w:fill="DFDFDF"/>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Art. 20 alin. (2)</w:t>
                  </w:r>
                </w:p>
              </w:tc>
              <w:tc>
                <w:tcPr>
                  <w:tcW w:w="0" w:type="auto"/>
                  <w:tcBorders>
                    <w:top w:val="outset" w:sz="6" w:space="0" w:color="FFFFFF"/>
                    <w:left w:val="outset" w:sz="6" w:space="0" w:color="FFFFFF"/>
                    <w:bottom w:val="outset" w:sz="6" w:space="0" w:color="FFFFFF"/>
                    <w:right w:val="outset" w:sz="6" w:space="0" w:color="FFFFFF"/>
                  </w:tcBorders>
                  <w:shd w:val="clear" w:color="auto" w:fill="C0C0C0"/>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Articolul 20. Numirea şi demiterea Comisarului pentru etică</w:t>
                  </w:r>
                </w:p>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w:t>
                  </w:r>
                </w:p>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(2) Comisarul pentru etică este selectat pe bază de concurs. Comisia de concurs este stabilită prin hotărîre a Parlamentului şi este compusă din:</w:t>
                  </w:r>
                </w:p>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a) un reprezentant al Preşedintelui Republicii Moldova;</w:t>
                  </w:r>
                </w:p>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lastRenderedPageBreak/>
                    <w:t>b) un reprezentant al Curţii Constituţionale;</w:t>
                  </w:r>
                </w:p>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c) un reprezentant al Centrului pentru Drepturile Omului din Moldova;</w:t>
                  </w:r>
                </w:p>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d) un reprezentant desemnat de Consiliul Naţional al organizaţiilor neguvernamentale din Republica Moldova;</w:t>
                  </w:r>
                </w:p>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e) cîte un reprezentant de la fiecare fracţiune parlamentară; f) un reprezentant din partea deputaţilor neafiliaţi.</w:t>
                  </w:r>
                </w:p>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w:t>
                  </w:r>
                </w:p>
              </w:tc>
              <w:tc>
                <w:tcPr>
                  <w:tcW w:w="0" w:type="auto"/>
                  <w:tcBorders>
                    <w:top w:val="outset" w:sz="6" w:space="0" w:color="FFFFFF"/>
                    <w:left w:val="outset" w:sz="6" w:space="0" w:color="FFFFFF"/>
                    <w:bottom w:val="outset" w:sz="6" w:space="0" w:color="FFFFFF"/>
                    <w:right w:val="outset" w:sz="6" w:space="0" w:color="FFFFFF"/>
                  </w:tcBorders>
                  <w:shd w:val="clear" w:color="auto" w:fill="DFDFDF"/>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lastRenderedPageBreak/>
                    <w:t xml:space="preserve">În primul rînd, proiectul nu prevede modul de organizare şi de desfăşurare a concursului - lacună care ar putea aduce atingere drepturilor candidaţilor. În al doilea rînd - prevederile, în partea ce ţine de reprezentantul Consiliului naţional al organizaţiilor neguvernamentale, poartă un caracter discriminatoriu. Nu este clar de ce această platformă ONG a fost </w:t>
                  </w:r>
                  <w:r w:rsidRPr="009748FC">
                    <w:rPr>
                      <w:rFonts w:ascii="Times New Roman" w:eastAsia="Times New Roman" w:hAnsi="Times New Roman" w:cs="Times New Roman"/>
                      <w:lang w:eastAsia="ro-RO"/>
                    </w:rPr>
                    <w:lastRenderedPageBreak/>
                    <w:t>selectată de către autor şi nu alta. La general, normele necesită revizuire. În mod practic, reprezentanţii desemnaţi de deputaţi ar putea prevala în comisie, fiind evident că aceştia vor da preferinţe unui candidat loial. Nu este clar de ce anume aceste autorităţi au fost investite cu dreptul de a-şi delega reprezentanţi şi nu altele, cum ar fi - Comisia Naţională de Integritate.</w:t>
                  </w:r>
                </w:p>
              </w:tc>
              <w:tc>
                <w:tcPr>
                  <w:tcW w:w="0" w:type="auto"/>
                  <w:tcBorders>
                    <w:top w:val="outset" w:sz="6" w:space="0" w:color="FFFFFF"/>
                    <w:left w:val="outset" w:sz="6" w:space="0" w:color="FFFFFF"/>
                    <w:bottom w:val="outset" w:sz="6" w:space="0" w:color="FFFFFF"/>
                    <w:right w:val="outset" w:sz="6" w:space="0" w:color="FFFFFF"/>
                  </w:tcBorders>
                  <w:shd w:val="clear" w:color="auto" w:fill="C0C0C0"/>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b/>
                      <w:bCs/>
                      <w:i/>
                      <w:iCs/>
                      <w:lang w:eastAsia="ro-RO"/>
                    </w:rPr>
                    <w:lastRenderedPageBreak/>
                    <w:t>Vulnerabilitate</w:t>
                  </w:r>
                  <w:r w:rsidRPr="009748FC">
                    <w:rPr>
                      <w:rFonts w:ascii="Times New Roman" w:eastAsia="Times New Roman" w:hAnsi="Times New Roman" w:cs="Times New Roman"/>
                      <w:lang w:eastAsia="ro-RO"/>
                    </w:rPr>
                    <w:br/>
                    <w:t>Prevederi discriminatorii;</w:t>
                  </w:r>
                  <w:r w:rsidRPr="009748FC">
                    <w:rPr>
                      <w:rFonts w:ascii="Times New Roman" w:eastAsia="Times New Roman" w:hAnsi="Times New Roman" w:cs="Times New Roman"/>
                      <w:lang w:eastAsia="ro-RO"/>
                    </w:rPr>
                    <w:br/>
                    <w:t>Lacună de drept care ar putea să aducă atingere drepturilor persoanei;</w:t>
                  </w:r>
                  <w:r w:rsidRPr="009748FC">
                    <w:rPr>
                      <w:rFonts w:ascii="Times New Roman" w:eastAsia="Times New Roman" w:hAnsi="Times New Roman" w:cs="Times New Roman"/>
                      <w:lang w:eastAsia="ro-RO"/>
                    </w:rPr>
                    <w:br/>
                  </w:r>
                </w:p>
              </w:tc>
              <w:tc>
                <w:tcPr>
                  <w:tcW w:w="0" w:type="auto"/>
                  <w:tcBorders>
                    <w:top w:val="outset" w:sz="6" w:space="0" w:color="FFFFFF"/>
                    <w:left w:val="outset" w:sz="6" w:space="0" w:color="FFFFFF"/>
                    <w:bottom w:val="outset" w:sz="6" w:space="0" w:color="FFFFFF"/>
                    <w:right w:val="outset" w:sz="6" w:space="0" w:color="FFFFFF"/>
                  </w:tcBorders>
                  <w:shd w:val="clear" w:color="auto" w:fill="DFDFDF"/>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Revizuire potrivit obiecţiei.</w:t>
                  </w:r>
                </w:p>
              </w:tc>
            </w:tr>
            <w:tr w:rsidR="009748FC" w:rsidRPr="009748FC" w:rsidTr="009748FC">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C0C0C0"/>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lastRenderedPageBreak/>
                    <w:t>9</w:t>
                  </w:r>
                </w:p>
              </w:tc>
              <w:tc>
                <w:tcPr>
                  <w:tcW w:w="0" w:type="auto"/>
                  <w:tcBorders>
                    <w:top w:val="outset" w:sz="6" w:space="0" w:color="FFFFFF"/>
                    <w:left w:val="outset" w:sz="6" w:space="0" w:color="FFFFFF"/>
                    <w:bottom w:val="outset" w:sz="6" w:space="0" w:color="FFFFFF"/>
                    <w:right w:val="outset" w:sz="6" w:space="0" w:color="FFFFFF"/>
                  </w:tcBorders>
                  <w:shd w:val="clear" w:color="auto" w:fill="DFDFDF"/>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Art. 22 alin. (1) lit. e)</w:t>
                  </w:r>
                </w:p>
              </w:tc>
              <w:tc>
                <w:tcPr>
                  <w:tcW w:w="0" w:type="auto"/>
                  <w:tcBorders>
                    <w:top w:val="outset" w:sz="6" w:space="0" w:color="FFFFFF"/>
                    <w:left w:val="outset" w:sz="6" w:space="0" w:color="FFFFFF"/>
                    <w:bottom w:val="outset" w:sz="6" w:space="0" w:color="FFFFFF"/>
                    <w:right w:val="outset" w:sz="6" w:space="0" w:color="FFFFFF"/>
                  </w:tcBorders>
                  <w:shd w:val="clear" w:color="auto" w:fill="C0C0C0"/>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Articolul 22. Interdicţii</w:t>
                  </w:r>
                </w:p>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(1) Comisarul pentru etică nu poate:</w:t>
                  </w:r>
                </w:p>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w:t>
                  </w:r>
                </w:p>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e) să efectueze orice activitate legată de îndeplinirea atribuţiilor de serviciu în cazuri care presupun existenţa unui conflict între interesele lui şi interesul public de asigurare a respectării prezentului Cod.</w:t>
                  </w:r>
                </w:p>
              </w:tc>
              <w:tc>
                <w:tcPr>
                  <w:tcW w:w="0" w:type="auto"/>
                  <w:tcBorders>
                    <w:top w:val="outset" w:sz="6" w:space="0" w:color="FFFFFF"/>
                    <w:left w:val="outset" w:sz="6" w:space="0" w:color="FFFFFF"/>
                    <w:bottom w:val="outset" w:sz="6" w:space="0" w:color="FFFFFF"/>
                    <w:right w:val="outset" w:sz="6" w:space="0" w:color="FFFFFF"/>
                  </w:tcBorders>
                  <w:shd w:val="clear" w:color="auto" w:fill="DFDFDF"/>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Proiectul ar trebui că clarifice modalităţile de soluţionare a unor atare situaţii şi să prevadă persoana care va exercita atribuţiile Comisarului pentru etică în cazul în care acesta, urmare a identificării unui potenţial conflict de interese, va fi în imposibilitatea de exerciţiu.</w:t>
                  </w:r>
                </w:p>
              </w:tc>
              <w:tc>
                <w:tcPr>
                  <w:tcW w:w="0" w:type="auto"/>
                  <w:tcBorders>
                    <w:top w:val="outset" w:sz="6" w:space="0" w:color="FFFFFF"/>
                    <w:left w:val="outset" w:sz="6" w:space="0" w:color="FFFFFF"/>
                    <w:bottom w:val="outset" w:sz="6" w:space="0" w:color="FFFFFF"/>
                    <w:right w:val="outset" w:sz="6" w:space="0" w:color="FFFFFF"/>
                  </w:tcBorders>
                  <w:shd w:val="clear" w:color="auto" w:fill="C0C0C0"/>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b/>
                      <w:bCs/>
                      <w:lang w:eastAsia="ro-RO"/>
                    </w:rPr>
                    <w:t>Alți factori</w:t>
                  </w:r>
                  <w:r w:rsidRPr="009748FC">
                    <w:rPr>
                      <w:rFonts w:ascii="Times New Roman" w:eastAsia="Times New Roman" w:hAnsi="Times New Roman" w:cs="Times New Roman"/>
                      <w:lang w:eastAsia="ro-RO"/>
                    </w:rPr>
                    <w:br/>
                    <w:t>Lacună de drept, care ar putea să genereze inaplicabilitatea legii;</w:t>
                  </w:r>
                </w:p>
              </w:tc>
              <w:tc>
                <w:tcPr>
                  <w:tcW w:w="0" w:type="auto"/>
                  <w:tcBorders>
                    <w:top w:val="outset" w:sz="6" w:space="0" w:color="FFFFFF"/>
                    <w:left w:val="outset" w:sz="6" w:space="0" w:color="FFFFFF"/>
                    <w:bottom w:val="outset" w:sz="6" w:space="0" w:color="FFFFFF"/>
                    <w:right w:val="outset" w:sz="6" w:space="0" w:color="FFFFFF"/>
                  </w:tcBorders>
                  <w:shd w:val="clear" w:color="auto" w:fill="DFDFDF"/>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Revizuire potrivit obiecţiei.</w:t>
                  </w:r>
                </w:p>
              </w:tc>
            </w:tr>
            <w:tr w:rsidR="009748FC" w:rsidRPr="009748FC" w:rsidTr="009748FC">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C0C0C0"/>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10</w:t>
                  </w:r>
                </w:p>
              </w:tc>
              <w:tc>
                <w:tcPr>
                  <w:tcW w:w="0" w:type="auto"/>
                  <w:tcBorders>
                    <w:top w:val="outset" w:sz="6" w:space="0" w:color="FFFFFF"/>
                    <w:left w:val="outset" w:sz="6" w:space="0" w:color="FFFFFF"/>
                    <w:bottom w:val="outset" w:sz="6" w:space="0" w:color="FFFFFF"/>
                    <w:right w:val="outset" w:sz="6" w:space="0" w:color="FFFFFF"/>
                  </w:tcBorders>
                  <w:shd w:val="clear" w:color="auto" w:fill="DFDFDF"/>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Art. 23 alin. (1)</w:t>
                  </w:r>
                </w:p>
              </w:tc>
              <w:tc>
                <w:tcPr>
                  <w:tcW w:w="0" w:type="auto"/>
                  <w:tcBorders>
                    <w:top w:val="outset" w:sz="6" w:space="0" w:color="FFFFFF"/>
                    <w:left w:val="outset" w:sz="6" w:space="0" w:color="FFFFFF"/>
                    <w:bottom w:val="outset" w:sz="6" w:space="0" w:color="FFFFFF"/>
                    <w:right w:val="outset" w:sz="6" w:space="0" w:color="FFFFFF"/>
                  </w:tcBorders>
                  <w:shd w:val="clear" w:color="auto" w:fill="C0C0C0"/>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Articolul 23. Sesizarea Comisarului pentru etică</w:t>
                  </w:r>
                </w:p>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(1) Oricare membru al legislativului, care are un temei rezonabil să considere că art. 4 şi normele Capitolelor II şi III al prezentului Cod au fost violate, poate solicita Comisarului pentru etică iniţierea unei investigaţii pentru stabilirea încălcării eticii de deputat.</w:t>
                  </w:r>
                </w:p>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w:t>
                  </w:r>
                </w:p>
              </w:tc>
              <w:tc>
                <w:tcPr>
                  <w:tcW w:w="0" w:type="auto"/>
                  <w:tcBorders>
                    <w:top w:val="outset" w:sz="6" w:space="0" w:color="FFFFFF"/>
                    <w:left w:val="outset" w:sz="6" w:space="0" w:color="FFFFFF"/>
                    <w:bottom w:val="outset" w:sz="6" w:space="0" w:color="FFFFFF"/>
                    <w:right w:val="outset" w:sz="6" w:space="0" w:color="FFFFFF"/>
                  </w:tcBorders>
                  <w:shd w:val="clear" w:color="auto" w:fill="DFDFDF"/>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 xml:space="preserve">În opinia noastră, aceste prevederi, neprevăzînd dreptul cetăţeanului de a sesiza Comisarul pentru etică, aduce atingere dreptului la administrare, garantat prin art. 39 din Constituţia RM. Potrivit alin. (1) din articolul pre-citat, cetăţenii Republicii Moldova au dreptul de a participa la administrarea treburilor publice nemijlocit, precum şi prin reprezentanţii lor. Reieşind din faptul, că domeniul reglementat </w:t>
                  </w:r>
                  <w:r w:rsidRPr="009748FC">
                    <w:rPr>
                      <w:rFonts w:ascii="Times New Roman" w:eastAsia="Times New Roman" w:hAnsi="Times New Roman" w:cs="Times New Roman"/>
                      <w:lang w:eastAsia="ro-RO"/>
                    </w:rPr>
                    <w:lastRenderedPageBreak/>
                    <w:t>prin proiect ţine de eventualele încălcări comise de deputaţi, cetăţenii trebuie să aibă dreptul de a sesiza nemijlocit Comisarul pentru etică.</w:t>
                  </w:r>
                </w:p>
              </w:tc>
              <w:tc>
                <w:tcPr>
                  <w:tcW w:w="0" w:type="auto"/>
                  <w:tcBorders>
                    <w:top w:val="outset" w:sz="6" w:space="0" w:color="FFFFFF"/>
                    <w:left w:val="outset" w:sz="6" w:space="0" w:color="FFFFFF"/>
                    <w:bottom w:val="outset" w:sz="6" w:space="0" w:color="FFFFFF"/>
                    <w:right w:val="outset" w:sz="6" w:space="0" w:color="FFFFFF"/>
                  </w:tcBorders>
                  <w:shd w:val="clear" w:color="auto" w:fill="C0C0C0"/>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b/>
                      <w:bCs/>
                      <w:i/>
                      <w:iCs/>
                      <w:lang w:eastAsia="ro-RO"/>
                    </w:rPr>
                    <w:lastRenderedPageBreak/>
                    <w:t>Vulnerabilitate</w:t>
                  </w:r>
                  <w:r w:rsidRPr="009748FC">
                    <w:rPr>
                      <w:rFonts w:ascii="Times New Roman" w:eastAsia="Times New Roman" w:hAnsi="Times New Roman" w:cs="Times New Roman"/>
                      <w:lang w:eastAsia="ro-RO"/>
                    </w:rPr>
                    <w:br/>
                    <w:t>Lacună de drept care ar putea să aducă atingere drepturilor persoanei;</w:t>
                  </w:r>
                  <w:r w:rsidRPr="009748FC">
                    <w:rPr>
                      <w:rFonts w:ascii="Times New Roman" w:eastAsia="Times New Roman" w:hAnsi="Times New Roman" w:cs="Times New Roman"/>
                      <w:lang w:eastAsia="ro-RO"/>
                    </w:rPr>
                    <w:br/>
                  </w:r>
                </w:p>
              </w:tc>
              <w:tc>
                <w:tcPr>
                  <w:tcW w:w="0" w:type="auto"/>
                  <w:tcBorders>
                    <w:top w:val="outset" w:sz="6" w:space="0" w:color="FFFFFF"/>
                    <w:left w:val="outset" w:sz="6" w:space="0" w:color="FFFFFF"/>
                    <w:bottom w:val="outset" w:sz="6" w:space="0" w:color="FFFFFF"/>
                    <w:right w:val="outset" w:sz="6" w:space="0" w:color="FFFFFF"/>
                  </w:tcBorders>
                  <w:shd w:val="clear" w:color="auto" w:fill="DFDFDF"/>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Completare cu norme care ar oferi cetăţenilor dreptul de a sesiza Comisarul pentru etică.</w:t>
                  </w:r>
                </w:p>
              </w:tc>
            </w:tr>
            <w:tr w:rsidR="009748FC" w:rsidRPr="009748FC" w:rsidTr="009748FC">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C0C0C0"/>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lastRenderedPageBreak/>
                    <w:t>11</w:t>
                  </w:r>
                </w:p>
              </w:tc>
              <w:tc>
                <w:tcPr>
                  <w:tcW w:w="0" w:type="auto"/>
                  <w:tcBorders>
                    <w:top w:val="outset" w:sz="6" w:space="0" w:color="FFFFFF"/>
                    <w:left w:val="outset" w:sz="6" w:space="0" w:color="FFFFFF"/>
                    <w:bottom w:val="outset" w:sz="6" w:space="0" w:color="FFFFFF"/>
                    <w:right w:val="outset" w:sz="6" w:space="0" w:color="FFFFFF"/>
                  </w:tcBorders>
                  <w:shd w:val="clear" w:color="auto" w:fill="DFDFDF"/>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Art. 32 lit. (e)</w:t>
                  </w:r>
                </w:p>
              </w:tc>
              <w:tc>
                <w:tcPr>
                  <w:tcW w:w="0" w:type="auto"/>
                  <w:tcBorders>
                    <w:top w:val="outset" w:sz="6" w:space="0" w:color="FFFFFF"/>
                    <w:left w:val="outset" w:sz="6" w:space="0" w:color="FFFFFF"/>
                    <w:bottom w:val="outset" w:sz="6" w:space="0" w:color="FFFFFF"/>
                    <w:right w:val="outset" w:sz="6" w:space="0" w:color="FFFFFF"/>
                  </w:tcBorders>
                  <w:shd w:val="clear" w:color="auto" w:fill="C0C0C0"/>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Articolul 32. Sancţiuni pentru încălcarea eticii de deputat</w:t>
                  </w:r>
                </w:p>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w:t>
                  </w:r>
                </w:p>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e) rambursarea oricărui profit, avantaj, beneficiu ilicit;</w:t>
                  </w:r>
                </w:p>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w:t>
                  </w:r>
                </w:p>
              </w:tc>
              <w:tc>
                <w:tcPr>
                  <w:tcW w:w="0" w:type="auto"/>
                  <w:tcBorders>
                    <w:top w:val="outset" w:sz="6" w:space="0" w:color="FFFFFF"/>
                    <w:left w:val="outset" w:sz="6" w:space="0" w:color="FFFFFF"/>
                    <w:bottom w:val="outset" w:sz="6" w:space="0" w:color="FFFFFF"/>
                    <w:right w:val="outset" w:sz="6" w:space="0" w:color="FFFFFF"/>
                  </w:tcBorders>
                  <w:shd w:val="clear" w:color="auto" w:fill="DFDFDF"/>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Regimul profitului, avantajului, beneficiului ilicit nu poate fi reglementat decît prin lege penală şi procesual-penală, aceasta neprevăzînd rambursarea acestora ca sancţiune.</w:t>
                  </w:r>
                </w:p>
              </w:tc>
              <w:tc>
                <w:tcPr>
                  <w:tcW w:w="0" w:type="auto"/>
                  <w:tcBorders>
                    <w:top w:val="outset" w:sz="6" w:space="0" w:color="FFFFFF"/>
                    <w:left w:val="outset" w:sz="6" w:space="0" w:color="FFFFFF"/>
                    <w:bottom w:val="outset" w:sz="6" w:space="0" w:color="FFFFFF"/>
                    <w:right w:val="outset" w:sz="6" w:space="0" w:color="FFFFFF"/>
                  </w:tcBorders>
                  <w:shd w:val="clear" w:color="auto" w:fill="C0C0C0"/>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b/>
                      <w:bCs/>
                      <w:i/>
                      <w:iCs/>
                      <w:lang w:eastAsia="ro-RO"/>
                    </w:rPr>
                    <w:t>Vulnerabilitate</w:t>
                  </w:r>
                  <w:r w:rsidRPr="009748FC">
                    <w:rPr>
                      <w:rFonts w:ascii="Times New Roman" w:eastAsia="Times New Roman" w:hAnsi="Times New Roman" w:cs="Times New Roman"/>
                      <w:lang w:eastAsia="ro-RO"/>
                    </w:rPr>
                    <w:br/>
                    <w:t>Prevederi necorespunzătoare normelor din legislaţia corelativă;</w:t>
                  </w:r>
                  <w:r w:rsidRPr="009748FC">
                    <w:rPr>
                      <w:rFonts w:ascii="Times New Roman" w:eastAsia="Times New Roman" w:hAnsi="Times New Roman" w:cs="Times New Roman"/>
                      <w:lang w:eastAsia="ro-RO"/>
                    </w:rPr>
                    <w:br/>
                  </w:r>
                </w:p>
              </w:tc>
              <w:tc>
                <w:tcPr>
                  <w:tcW w:w="0" w:type="auto"/>
                  <w:tcBorders>
                    <w:top w:val="outset" w:sz="6" w:space="0" w:color="FFFFFF"/>
                    <w:left w:val="outset" w:sz="6" w:space="0" w:color="FFFFFF"/>
                    <w:bottom w:val="outset" w:sz="6" w:space="0" w:color="FFFFFF"/>
                    <w:right w:val="outset" w:sz="6" w:space="0" w:color="FFFFFF"/>
                  </w:tcBorders>
                  <w:shd w:val="clear" w:color="auto" w:fill="DFDFDF"/>
                  <w:tcMar>
                    <w:top w:w="0" w:type="dxa"/>
                    <w:left w:w="0" w:type="dxa"/>
                    <w:bottom w:w="0" w:type="dxa"/>
                    <w:right w:w="0" w:type="dxa"/>
                  </w:tcMar>
                  <w:hideMark/>
                </w:tcPr>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Excluderea prevederilor.</w:t>
                  </w:r>
                </w:p>
              </w:tc>
            </w:tr>
          </w:tbl>
          <w:p w:rsidR="009748FC" w:rsidRPr="009748FC" w:rsidRDefault="009748FC" w:rsidP="009748FC">
            <w:pPr>
              <w:spacing w:after="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br/>
            </w:r>
            <w:r w:rsidRPr="009748FC">
              <w:rPr>
                <w:rFonts w:ascii="Times New Roman" w:eastAsia="Times New Roman" w:hAnsi="Times New Roman" w:cs="Times New Roman"/>
                <w:lang w:eastAsia="ro-RO"/>
              </w:rPr>
              <w:br/>
            </w:r>
            <w:r w:rsidRPr="009748FC">
              <w:rPr>
                <w:rFonts w:ascii="Times New Roman" w:eastAsia="Times New Roman" w:hAnsi="Times New Roman" w:cs="Times New Roman"/>
                <w:lang w:eastAsia="ro-RO"/>
              </w:rPr>
              <w:br/>
            </w:r>
          </w:p>
          <w:p w:rsidR="009748FC" w:rsidRPr="009748FC" w:rsidRDefault="009748FC" w:rsidP="009748FC">
            <w:pPr>
              <w:spacing w:before="300" w:after="90" w:line="504" w:lineRule="atLeast"/>
              <w:outlineLvl w:val="1"/>
              <w:rPr>
                <w:rFonts w:ascii="inherit" w:eastAsia="Times New Roman" w:hAnsi="inherit" w:cs="Times New Roman"/>
                <w:color w:val="EF7A00"/>
                <w:lang w:eastAsia="ro-RO"/>
              </w:rPr>
            </w:pPr>
            <w:r w:rsidRPr="009748FC">
              <w:rPr>
                <w:rFonts w:ascii="inherit" w:eastAsia="Times New Roman" w:hAnsi="inherit" w:cs="Times New Roman"/>
                <w:color w:val="EF7A00"/>
                <w:lang w:eastAsia="ro-RO"/>
              </w:rPr>
              <w:t>Concluzii</w:t>
            </w:r>
          </w:p>
          <w:p w:rsidR="009748FC" w:rsidRPr="009748FC" w:rsidRDefault="009748FC" w:rsidP="009748FC">
            <w:pPr>
              <w:spacing w:after="150" w:line="240" w:lineRule="auto"/>
              <w:rPr>
                <w:rFonts w:ascii="Times New Roman" w:eastAsia="Times New Roman" w:hAnsi="Times New Roman" w:cs="Times New Roman"/>
                <w:lang w:eastAsia="ro-RO"/>
              </w:rPr>
            </w:pPr>
            <w:r w:rsidRPr="009748FC">
              <w:rPr>
                <w:rFonts w:ascii="Times New Roman" w:eastAsia="Times New Roman" w:hAnsi="Times New Roman" w:cs="Times New Roman"/>
                <w:lang w:eastAsia="ro-RO"/>
              </w:rPr>
              <w:t>Autorul proiectului este un grup de deputaţi în Parlament, ceea ce corespunde art. 73 din Constituţie şi art. 44 din Regulamentul Parlamentului. </w:t>
            </w:r>
            <w:r w:rsidRPr="009748FC">
              <w:rPr>
                <w:rFonts w:ascii="Times New Roman" w:eastAsia="Times New Roman" w:hAnsi="Times New Roman" w:cs="Times New Roman"/>
                <w:lang w:eastAsia="ro-RO"/>
              </w:rPr>
              <w:br/>
            </w:r>
            <w:r w:rsidRPr="009748FC">
              <w:rPr>
                <w:rFonts w:ascii="Times New Roman" w:eastAsia="Times New Roman" w:hAnsi="Times New Roman" w:cs="Times New Roman"/>
                <w:lang w:eastAsia="ro-RO"/>
              </w:rPr>
              <w:br/>
              <w:t>Categoria actului legislativ propus este lege ordinară, ceea ce contravine art. 72 alin. (3) lit. p) din Constituţia RM. </w:t>
            </w:r>
            <w:r w:rsidRPr="009748FC">
              <w:rPr>
                <w:rFonts w:ascii="Times New Roman" w:eastAsia="Times New Roman" w:hAnsi="Times New Roman" w:cs="Times New Roman"/>
                <w:lang w:eastAsia="ro-RO"/>
              </w:rPr>
              <w:br/>
            </w:r>
            <w:r w:rsidRPr="009748FC">
              <w:rPr>
                <w:rFonts w:ascii="Times New Roman" w:eastAsia="Times New Roman" w:hAnsi="Times New Roman" w:cs="Times New Roman"/>
                <w:lang w:eastAsia="ro-RO"/>
              </w:rPr>
              <w:br/>
              <w:t>Sfera de reglementare a proiectului corespunde următoarelor domenii/drepturi: Dreptul la acces liber la justiție (art. 20 din Constituția RM); Dreptul de a cunoaște drepturile și îndatoririle (art. 23 din Constituția RM); Dreptul la informație (art. 34 din Constituția RM); Dreptul la administrare (art. 39 din Constituția RM).</w:t>
            </w:r>
            <w:r w:rsidRPr="009748FC">
              <w:rPr>
                <w:rFonts w:ascii="Times New Roman" w:eastAsia="Times New Roman" w:hAnsi="Times New Roman" w:cs="Times New Roman"/>
                <w:lang w:eastAsia="ro-RO"/>
              </w:rPr>
              <w:br/>
            </w:r>
            <w:r w:rsidRPr="009748FC">
              <w:rPr>
                <w:rFonts w:ascii="Times New Roman" w:eastAsia="Times New Roman" w:hAnsi="Times New Roman" w:cs="Times New Roman"/>
                <w:lang w:eastAsia="ro-RO"/>
              </w:rPr>
              <w:br/>
              <w:t>Reieşind din preambul, prin proiect se urmăreşte menţinerea încrederii în legislativul ţării, prin exercitarea atribuţiilor parlamentare cu onestitate, integritate şi respectarea legii, exclusiv pentru binele poporului Republicii Moldova. Scopul proiectului este concretizat şi în nota informativă. Recunoaştem necesitatea dezvoltării normelor de drept existente în partea ce ţine de etica deputatului. Ne referim, în mod special, şi la necesitatea clarificării normelor ce vizează soluţionarea conflictelor de interese. Referitor la cele din urmă, constatăm că proiectul nu dă mai multă aplicabilitate şi eficienţă cadrului legal naţional. </w:t>
            </w:r>
            <w:r w:rsidRPr="009748FC">
              <w:rPr>
                <w:rFonts w:ascii="Times New Roman" w:eastAsia="Times New Roman" w:hAnsi="Times New Roman" w:cs="Times New Roman"/>
                <w:lang w:eastAsia="ro-RO"/>
              </w:rPr>
              <w:br/>
            </w:r>
            <w:r w:rsidRPr="009748FC">
              <w:rPr>
                <w:rFonts w:ascii="Times New Roman" w:eastAsia="Times New Roman" w:hAnsi="Times New Roman" w:cs="Times New Roman"/>
                <w:lang w:eastAsia="ro-RO"/>
              </w:rPr>
              <w:br/>
              <w:t>Nota informativă a proiectului de act legislativ supus expertizei nu conține o argumentare suficientă a promovării proiectului în partea ce ţine de condiţiile ce au impus elaborarea acestuia. Proiectul nu este suficient de argumentat economico-financiar. Cele două din urmă obiecţii nu infirmă necesitatea proiectului, ci se referă la capacitatea şi abilitatea autorului de a-şi justifica iniţiativa legislativă. </w:t>
            </w:r>
            <w:r w:rsidRPr="009748FC">
              <w:rPr>
                <w:rFonts w:ascii="Times New Roman" w:eastAsia="Times New Roman" w:hAnsi="Times New Roman" w:cs="Times New Roman"/>
                <w:lang w:eastAsia="ro-RO"/>
              </w:rPr>
              <w:br/>
            </w:r>
            <w:r w:rsidRPr="009748FC">
              <w:rPr>
                <w:rFonts w:ascii="Times New Roman" w:eastAsia="Times New Roman" w:hAnsi="Times New Roman" w:cs="Times New Roman"/>
                <w:lang w:eastAsia="ro-RO"/>
              </w:rPr>
              <w:br/>
              <w:t>Proiectul nu asigură respectarea principiului transparenței. În partea ce ţine de transparenţa promovării proiectului, aceasta, la etapa actuală a procesului de examinare a proiectului, pare a fi asigurată. Proiectul, însoţit de nota informativă, este plasat pe web site-ul oficial al Parlamentului. Totuşi, caracterul lent cu care se examinează proiectul, deşi importanţa acestuia este evidentă, nu poate să nu îngrijoreze. </w:t>
            </w:r>
            <w:r w:rsidRPr="009748FC">
              <w:rPr>
                <w:rFonts w:ascii="Times New Roman" w:eastAsia="Times New Roman" w:hAnsi="Times New Roman" w:cs="Times New Roman"/>
                <w:lang w:eastAsia="ro-RO"/>
              </w:rPr>
              <w:br/>
            </w:r>
            <w:r w:rsidRPr="009748FC">
              <w:rPr>
                <w:rFonts w:ascii="Times New Roman" w:eastAsia="Times New Roman" w:hAnsi="Times New Roman" w:cs="Times New Roman"/>
                <w:lang w:eastAsia="ro-RO"/>
              </w:rPr>
              <w:lastRenderedPageBreak/>
              <w:br/>
              <w:t>Proiectul nu asigură respectarea principiului participării. Principiul participării este corelativ principiului transparenţei. Astfel, evident, prin neasigurarea principiului transparenţei, nu este asigurată respectarea principiului participării. Mai mult, prin anumite norme ale proiectului poate să se aducă atingere Dreptului la informaţie şi Dreptului la administrare, drepturi esenţiale în asigurarea participării publicului într-un proces decizional. Şi mai grav este că cetăţeanul, potrivit proiectului, nu poate sesiza Comisarul pentru etică, acest drept fiind rezervat, în exclusivitate, deputaţilor. </w:t>
            </w:r>
            <w:r w:rsidRPr="009748FC">
              <w:rPr>
                <w:rFonts w:ascii="Times New Roman" w:eastAsia="Times New Roman" w:hAnsi="Times New Roman" w:cs="Times New Roman"/>
                <w:lang w:eastAsia="ro-RO"/>
              </w:rPr>
              <w:br/>
            </w:r>
            <w:r w:rsidRPr="009748FC">
              <w:rPr>
                <w:rFonts w:ascii="Times New Roman" w:eastAsia="Times New Roman" w:hAnsi="Times New Roman" w:cs="Times New Roman"/>
                <w:lang w:eastAsia="ro-RO"/>
              </w:rPr>
              <w:br/>
              <w:t>Proiectul nu asigură respectarea principiului responsabilizării. Proiectul nu conţine prevederi, care ar permite monitorizarea procesului de implementare a normelor din proiect. Respectiv, proiectul nu instituie un mecanism pentru luarea în consideraţie a rezultatelor monitorizării. Mai mult, proiectul nu conţine prevederi care ar obliga actorii-cheie (Comisarul pentru etică, Comisia juridică numiri şi imunităţi, Parlamentul) să facă publice, fără a aduce atingere principiilor confidenţialităţii şi operativităţii investigaţiei, rezultatele punerii în aplicare a legii. </w:t>
            </w:r>
            <w:r w:rsidRPr="009748FC">
              <w:rPr>
                <w:rFonts w:ascii="Times New Roman" w:eastAsia="Times New Roman" w:hAnsi="Times New Roman" w:cs="Times New Roman"/>
                <w:lang w:eastAsia="ro-RO"/>
              </w:rPr>
              <w:br/>
            </w:r>
            <w:r w:rsidRPr="009748FC">
              <w:rPr>
                <w:rFonts w:ascii="Times New Roman" w:eastAsia="Times New Roman" w:hAnsi="Times New Roman" w:cs="Times New Roman"/>
                <w:lang w:eastAsia="ro-RO"/>
              </w:rPr>
              <w:br/>
              <w:t>Proiectul/actul normativ este conform parțial Constituției. Reiterăm, că categoria proiectului contravine prevederilor art. 72 alin. (3) lit. p) din Constituţia RM. Reiterăm, că proiectul, prin unele prevederi, poate aduce atingere Dreptului la informaţie şi Dreptului la administrare, garantate prin articolele 34 şi 39 din Constituţia RM. Prin alte prevederi, proiectul îngrădeşte accesul liber la justiţie, drept garantat prin art. 20 din Constituţia RM, precum şi limitează Dreptul de a-şi cunoaşte drepturile şi îndatoririle, garantat prin art. 23 din Constituţia RM, aplicabil deputatului. </w:t>
            </w:r>
            <w:r w:rsidRPr="009748FC">
              <w:rPr>
                <w:rFonts w:ascii="Times New Roman" w:eastAsia="Times New Roman" w:hAnsi="Times New Roman" w:cs="Times New Roman"/>
                <w:lang w:eastAsia="ro-RO"/>
              </w:rPr>
              <w:br/>
            </w:r>
            <w:r w:rsidRPr="009748FC">
              <w:rPr>
                <w:rFonts w:ascii="Times New Roman" w:eastAsia="Times New Roman" w:hAnsi="Times New Roman" w:cs="Times New Roman"/>
                <w:lang w:eastAsia="ro-RO"/>
              </w:rPr>
              <w:br/>
              <w:t>Proiectul/actul normativ este conform parțial legislației corelative. Mai multe prevederi ale proiectului contravin unor norme din legislaţia corelativă, şi anume: Regulamentul Parlamentului; Legea nr. 16 din 15.02.2008 cu privire la conflictul de interese; Legea nr. 1264 din 19.07.2002 privind declararea şi controlul veniturilor şi proprietăţii persoanelor cu funcţii de demnitate publică, judecătorilor, procurorilor, funcţionarilor publici şi a unor persoane cu funcţie de conducere. Proiectul urmează a fi revăzut şi prin prisma legii penale şi procesual-penale. </w:t>
            </w:r>
            <w:r w:rsidRPr="009748FC">
              <w:rPr>
                <w:rFonts w:ascii="Times New Roman" w:eastAsia="Times New Roman" w:hAnsi="Times New Roman" w:cs="Times New Roman"/>
                <w:lang w:eastAsia="ro-RO"/>
              </w:rPr>
              <w:br/>
            </w:r>
            <w:r w:rsidRPr="009748FC">
              <w:rPr>
                <w:rFonts w:ascii="Times New Roman" w:eastAsia="Times New Roman" w:hAnsi="Times New Roman" w:cs="Times New Roman"/>
                <w:lang w:eastAsia="ro-RO"/>
              </w:rPr>
              <w:br/>
              <w:t>Proiectul este conform standardelor internaționale. La general, standardele internaţionale relevante domeniului reglementat prin proiect, cum ar fi - Rezoluţia 1214 (2000) a Adunării Parlamentare a Consiliului Europei "Rolul Parlamentelor în lupta împotriva corupţiei", nu oferă decît un cadru general, lăsînd ţărilor discreţia de reglementare propriu-zisă. Cert este că reglementările naţionale trebuie să fie conforme normelor constituţionale şi nu trebuie să aducă atingere drepturilor fundamentale ale persoanei. </w:t>
            </w:r>
            <w:r w:rsidRPr="009748FC">
              <w:rPr>
                <w:rFonts w:ascii="Times New Roman" w:eastAsia="Times New Roman" w:hAnsi="Times New Roman" w:cs="Times New Roman"/>
                <w:lang w:eastAsia="ro-RO"/>
              </w:rPr>
              <w:br/>
            </w:r>
            <w:r w:rsidRPr="009748FC">
              <w:rPr>
                <w:rFonts w:ascii="Times New Roman" w:eastAsia="Times New Roman" w:hAnsi="Times New Roman" w:cs="Times New Roman"/>
                <w:lang w:eastAsia="ro-RO"/>
              </w:rPr>
              <w:br/>
              <w:t>Există jurisprudenţă a Curţii Constituţionale în partea ce ţine de statutul deputatului, cum ar fi: Hotărîrea nr. 8 din 19.06.2012 privind interpretarea articolelor 68 alin. (1), (2) şi 69 alin. (2) din Constituţie (Sesizarea nr. 8b/2012); Hotărîrea nr. 10 din 12.07.2012 pentru controlul constituţionalităţii unor prevederi referitoare la statutul deputatului în Parlament (Sesizarea nr. 7a/2012). Această jurisprudenţă, însă, nu este relevantă domeniului nemijlocit reglementat prin proiectul supus expertizei. Nu am identificat hotărîri ale CtEDO relevante domeniului reglementat nemijlocit prin proiect. </w:t>
            </w:r>
            <w:r w:rsidRPr="009748FC">
              <w:rPr>
                <w:rFonts w:ascii="Times New Roman" w:eastAsia="Times New Roman" w:hAnsi="Times New Roman" w:cs="Times New Roman"/>
                <w:lang w:eastAsia="ro-RO"/>
              </w:rPr>
              <w:br/>
            </w:r>
            <w:r w:rsidRPr="009748FC">
              <w:rPr>
                <w:rFonts w:ascii="Times New Roman" w:eastAsia="Times New Roman" w:hAnsi="Times New Roman" w:cs="Times New Roman"/>
                <w:lang w:eastAsia="ro-RO"/>
              </w:rPr>
              <w:br/>
              <w:t>Proiectul este gender neutru. Proiectul nu influenţează diferenţierea gender, nu contribuie la inegalitatea gender şi generează acelaşi impact atît asupra femeilor, cît şi bărbaţilor. </w:t>
            </w:r>
            <w:r w:rsidRPr="009748FC">
              <w:rPr>
                <w:rFonts w:ascii="Times New Roman" w:eastAsia="Times New Roman" w:hAnsi="Times New Roman" w:cs="Times New Roman"/>
                <w:lang w:eastAsia="ro-RO"/>
              </w:rPr>
              <w:br/>
            </w:r>
            <w:r w:rsidRPr="009748FC">
              <w:rPr>
                <w:rFonts w:ascii="Times New Roman" w:eastAsia="Times New Roman" w:hAnsi="Times New Roman" w:cs="Times New Roman"/>
                <w:lang w:eastAsia="ro-RO"/>
              </w:rPr>
              <w:br/>
              <w:t>Necesitatea promovării proiectului fiind incontestabilă, acesta necesită îmbunătăţire esenţială, mai mulţi factori de vulnerabilitate fiind identificaţi, şi anume: Lacună de drept, care ar putea să aducă atingere drepturilor persoanei; Lacună de drept, care ar putea să genereze inaplicabilitatea legii; Norme de blanchetă care ar putea să aducă atingere drepturilor persoanei; Prevederi discriminatorii; Prevederi care încalcă drepturile/libertăţile; Prevederi necorespunzătoare normelor constituţionale; Prevederi necorespunzătoare normelor din legislaţia corelativă.</w:t>
            </w:r>
            <w:r w:rsidRPr="009748FC">
              <w:rPr>
                <w:rFonts w:ascii="Times New Roman" w:eastAsia="Times New Roman" w:hAnsi="Times New Roman" w:cs="Times New Roman"/>
                <w:lang w:eastAsia="ro-RO"/>
              </w:rPr>
              <w:br/>
            </w:r>
            <w:r w:rsidRPr="009748FC">
              <w:rPr>
                <w:rFonts w:ascii="Times New Roman" w:eastAsia="Times New Roman" w:hAnsi="Times New Roman" w:cs="Times New Roman"/>
                <w:lang w:eastAsia="ro-RO"/>
              </w:rPr>
              <w:br/>
              <w:t>Proiectul, necesită îmbunătăţire prin prisma exigenţelor tehnicii legislative</w:t>
            </w:r>
          </w:p>
        </w:tc>
      </w:tr>
    </w:tbl>
    <w:p w:rsidR="00D4439F" w:rsidRPr="009748FC" w:rsidRDefault="00D4439F" w:rsidP="009748FC"/>
    <w:sectPr w:rsidR="00D4439F" w:rsidRPr="009748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Open Sans">
    <w:panose1 w:val="020B0606030504020204"/>
    <w:charset w:val="EE"/>
    <w:family w:val="swiss"/>
    <w:pitch w:val="variable"/>
    <w:sig w:usb0="E00002EF" w:usb1="4000205B" w:usb2="00000028" w:usb3="00000000" w:csb0="0000019F" w:csb1="00000000"/>
  </w:font>
  <w:font w:name="inherit">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2CF"/>
    <w:rsid w:val="004B5D4D"/>
    <w:rsid w:val="0066769B"/>
    <w:rsid w:val="009748FC"/>
    <w:rsid w:val="00D4439F"/>
    <w:rsid w:val="00E862CF"/>
    <w:rsid w:val="00EE5FF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48F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48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370356">
      <w:bodyDiv w:val="1"/>
      <w:marLeft w:val="0"/>
      <w:marRight w:val="0"/>
      <w:marTop w:val="0"/>
      <w:marBottom w:val="0"/>
      <w:divBdr>
        <w:top w:val="none" w:sz="0" w:space="0" w:color="auto"/>
        <w:left w:val="none" w:sz="0" w:space="0" w:color="auto"/>
        <w:bottom w:val="none" w:sz="0" w:space="0" w:color="auto"/>
        <w:right w:val="none" w:sz="0" w:space="0" w:color="auto"/>
      </w:divBdr>
      <w:divsChild>
        <w:div w:id="149758252">
          <w:marLeft w:val="0"/>
          <w:marRight w:val="0"/>
          <w:marTop w:val="0"/>
          <w:marBottom w:val="0"/>
          <w:divBdr>
            <w:top w:val="none" w:sz="0" w:space="0" w:color="auto"/>
            <w:left w:val="none" w:sz="0" w:space="0" w:color="auto"/>
            <w:bottom w:val="none" w:sz="0" w:space="0" w:color="auto"/>
            <w:right w:val="none" w:sz="0" w:space="0" w:color="auto"/>
          </w:divBdr>
        </w:div>
        <w:div w:id="1401370162">
          <w:marLeft w:val="0"/>
          <w:marRight w:val="0"/>
          <w:marTop w:val="0"/>
          <w:marBottom w:val="0"/>
          <w:divBdr>
            <w:top w:val="none" w:sz="0" w:space="0" w:color="auto"/>
            <w:left w:val="none" w:sz="0" w:space="0" w:color="auto"/>
            <w:bottom w:val="none" w:sz="0" w:space="0" w:color="auto"/>
            <w:right w:val="none" w:sz="0" w:space="0" w:color="auto"/>
          </w:divBdr>
          <w:divsChild>
            <w:div w:id="158083951">
              <w:marLeft w:val="0"/>
              <w:marRight w:val="0"/>
              <w:marTop w:val="0"/>
              <w:marBottom w:val="0"/>
              <w:divBdr>
                <w:top w:val="none" w:sz="0" w:space="0" w:color="auto"/>
                <w:left w:val="none" w:sz="0" w:space="0" w:color="auto"/>
                <w:bottom w:val="none" w:sz="0" w:space="0" w:color="auto"/>
                <w:right w:val="none" w:sz="0" w:space="0" w:color="auto"/>
              </w:divBdr>
              <w:divsChild>
                <w:div w:id="1368947699">
                  <w:marLeft w:val="0"/>
                  <w:marRight w:val="0"/>
                  <w:marTop w:val="0"/>
                  <w:marBottom w:val="0"/>
                  <w:divBdr>
                    <w:top w:val="none" w:sz="0" w:space="0" w:color="auto"/>
                    <w:left w:val="none" w:sz="0" w:space="0" w:color="auto"/>
                    <w:bottom w:val="none" w:sz="0" w:space="0" w:color="auto"/>
                    <w:right w:val="none" w:sz="0" w:space="0" w:color="auto"/>
                  </w:divBdr>
                  <w:divsChild>
                    <w:div w:id="848449049">
                      <w:marLeft w:val="0"/>
                      <w:marRight w:val="0"/>
                      <w:marTop w:val="0"/>
                      <w:marBottom w:val="0"/>
                      <w:divBdr>
                        <w:top w:val="none" w:sz="0" w:space="0" w:color="auto"/>
                        <w:left w:val="none" w:sz="0" w:space="0" w:color="auto"/>
                        <w:bottom w:val="none" w:sz="0" w:space="0" w:color="auto"/>
                        <w:right w:val="none" w:sz="0" w:space="0" w:color="auto"/>
                      </w:divBdr>
                    </w:div>
                    <w:div w:id="737944864">
                      <w:marLeft w:val="0"/>
                      <w:marRight w:val="0"/>
                      <w:marTop w:val="0"/>
                      <w:marBottom w:val="0"/>
                      <w:divBdr>
                        <w:top w:val="none" w:sz="0" w:space="0" w:color="auto"/>
                        <w:left w:val="none" w:sz="0" w:space="0" w:color="auto"/>
                        <w:bottom w:val="none" w:sz="0" w:space="0" w:color="auto"/>
                        <w:right w:val="none" w:sz="0" w:space="0" w:color="auto"/>
                      </w:divBdr>
                    </w:div>
                  </w:divsChild>
                </w:div>
                <w:div w:id="77857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capc.md/ro/expertise/avizel/nr-586.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14</Pages>
  <Words>5456</Words>
  <Characters>31646</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37028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4</cp:revision>
  <dcterms:created xsi:type="dcterms:W3CDTF">2017-12-19T08:35:00Z</dcterms:created>
  <dcterms:modified xsi:type="dcterms:W3CDTF">2018-02-02T07:53:00Z</dcterms:modified>
</cp:coreProperties>
</file>