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C" w:rsidRDefault="008B2CDC" w:rsidP="008B2CDC">
      <w:pPr>
        <w:spacing w:line="360" w:lineRule="auto"/>
        <w:jc w:val="center"/>
        <w:rPr>
          <w:b/>
          <w:lang w:val="ro-RO"/>
        </w:rPr>
      </w:pPr>
      <w:r w:rsidRPr="00EC1632">
        <w:rPr>
          <w:b/>
          <w:lang w:val="ro-RO"/>
        </w:rPr>
        <w:t>III.</w:t>
      </w:r>
      <w:r>
        <w:rPr>
          <w:lang w:val="ro-RO"/>
        </w:rPr>
        <w:t xml:space="preserve"> </w:t>
      </w:r>
      <w:proofErr w:type="spellStart"/>
      <w:r>
        <w:rPr>
          <w:b/>
        </w:rPr>
        <w:t>Stratigrafia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Teritoriului</w:t>
      </w:r>
      <w:proofErr w:type="spellEnd"/>
      <w:r>
        <w:rPr>
          <w:b/>
        </w:rPr>
        <w:t xml:space="preserve"> </w:t>
      </w:r>
      <w:r>
        <w:rPr>
          <w:b/>
          <w:lang w:val="ro-RO"/>
        </w:rPr>
        <w:t xml:space="preserve">Republicii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lang w:val="ro-RO"/>
            </w:rPr>
            <w:t>Moldova</w:t>
          </w:r>
        </w:smartTag>
      </w:smartTag>
    </w:p>
    <w:p w:rsidR="008B2CDC" w:rsidRPr="00EC1632" w:rsidRDefault="008B2CDC" w:rsidP="008B2CDC">
      <w:pPr>
        <w:jc w:val="center"/>
        <w:rPr>
          <w:b/>
          <w:lang w:val="ro-RO"/>
        </w:rPr>
      </w:pPr>
      <w:r w:rsidRPr="00EC1632">
        <w:rPr>
          <w:b/>
          <w:lang w:val="ro-RO"/>
        </w:rPr>
        <w:t xml:space="preserve">5. </w:t>
      </w:r>
      <w:proofErr w:type="spellStart"/>
      <w:r w:rsidRPr="00EC1632">
        <w:rPr>
          <w:b/>
        </w:rPr>
        <w:t>Stratigrafia</w:t>
      </w:r>
      <w:proofErr w:type="spellEnd"/>
      <w:r w:rsidRPr="00EC1632">
        <w:rPr>
          <w:b/>
        </w:rPr>
        <w:t xml:space="preserve"> </w:t>
      </w:r>
      <w:proofErr w:type="spellStart"/>
      <w:r w:rsidRPr="00EC1632">
        <w:rPr>
          <w:b/>
        </w:rPr>
        <w:t>fundamentului</w:t>
      </w:r>
      <w:proofErr w:type="spellEnd"/>
    </w:p>
    <w:p w:rsidR="008B2CDC" w:rsidRDefault="008B2CDC" w:rsidP="008B2CDC">
      <w:pPr>
        <w:jc w:val="both"/>
        <w:rPr>
          <w:lang w:val="ro-RO"/>
        </w:rPr>
      </w:pPr>
    </w:p>
    <w:p w:rsidR="008B2CDC" w:rsidRDefault="008B2CDC" w:rsidP="008B2CDC">
      <w:pPr>
        <w:pStyle w:val="a4"/>
        <w:ind w:firstLine="720"/>
      </w:pPr>
      <w:r>
        <w:t xml:space="preserve">Deoarece o bună parte a Republicii Moldova se află în apropierea nemărginită a </w:t>
      </w:r>
      <w:r>
        <w:rPr>
          <w:i/>
        </w:rPr>
        <w:t>Scutului Cristalin Ucrainean</w:t>
      </w:r>
      <w:r>
        <w:t xml:space="preserve">,  este logic a utiliza </w:t>
      </w:r>
      <w:r>
        <w:rPr>
          <w:i/>
        </w:rPr>
        <w:t xml:space="preserve">Schema stratigrafică de corelare a formaţiunilor precambriene a Scutului Cristalin Ucrainean, </w:t>
      </w:r>
      <w:r>
        <w:t xml:space="preserve">elaborată la 7 iunie 1984 de către </w:t>
      </w:r>
      <w:r>
        <w:rPr>
          <w:i/>
        </w:rPr>
        <w:t>Comitetul Stratigrafic Regional al Ucrainei (CSRU)</w:t>
      </w:r>
      <w:r>
        <w:t>.</w:t>
      </w:r>
    </w:p>
    <w:p w:rsidR="008B2CDC" w:rsidRDefault="008B2CDC" w:rsidP="008B2CDC">
      <w:pPr>
        <w:pStyle w:val="a4"/>
        <w:ind w:firstLine="720"/>
      </w:pPr>
      <w:r>
        <w:t xml:space="preserve">Sub aspectul geocronologico-stratigrafic cel mai adecvat principiu metodologic în studiul geologic al pantei de sud-vest a </w:t>
      </w:r>
      <w:r>
        <w:rPr>
          <w:i/>
        </w:rPr>
        <w:t>Platformei Europene de Est</w:t>
      </w:r>
      <w:r>
        <w:t>, constă în corelarea unor formaţiuni cristaline ultrametamorfozate în cadrul unei unităţi geotectonice regionale sau locale.</w:t>
      </w:r>
    </w:p>
    <w:p w:rsidR="008B2CDC" w:rsidRDefault="008B2CDC" w:rsidP="008B2CDC">
      <w:pPr>
        <w:pStyle w:val="a4"/>
        <w:ind w:firstLine="720"/>
      </w:pPr>
      <w:r>
        <w:t xml:space="preserve">Din punct de vedere geologico-structural în cadrul </w:t>
      </w:r>
      <w:r>
        <w:rPr>
          <w:i/>
        </w:rPr>
        <w:t xml:space="preserve">Scutului Cristalin Ucrainean </w:t>
      </w:r>
      <w:r>
        <w:t xml:space="preserve">sunt desemnate mai multe zone specifice, una dintre ele fiind panta de sud-vest, situată între râurile Nistru şi Bug. Astfel rocile cristaline cercetate în această zonă pot fi incluse în </w:t>
      </w:r>
      <w:r>
        <w:rPr>
          <w:i/>
        </w:rPr>
        <w:t xml:space="preserve">Seria stratigrafică Nistru-Bug. </w:t>
      </w:r>
      <w:r>
        <w:t xml:space="preserve">Rocile prezintă diverse varietăţi ultrametamorfozate şi formează în fundament două megablocuri – </w:t>
      </w:r>
      <w:r>
        <w:rPr>
          <w:i/>
        </w:rPr>
        <w:t>Podolsk</w:t>
      </w:r>
      <w:r>
        <w:t xml:space="preserve"> şi </w:t>
      </w:r>
      <w:r>
        <w:rPr>
          <w:i/>
        </w:rPr>
        <w:t>Bug-Rosinsk</w:t>
      </w:r>
      <w:r>
        <w:t xml:space="preserve"> sau, în alte prezentări - </w:t>
      </w:r>
      <w:r>
        <w:rPr>
          <w:i/>
        </w:rPr>
        <w:t>Podolsk</w:t>
      </w:r>
      <w:r>
        <w:t xml:space="preserve"> şi </w:t>
      </w:r>
      <w:r>
        <w:rPr>
          <w:i/>
        </w:rPr>
        <w:t>Beloţerkovsk</w:t>
      </w:r>
      <w:r>
        <w:t xml:space="preserve">, delimitate unul de altul de </w:t>
      </w:r>
      <w:r>
        <w:rPr>
          <w:i/>
        </w:rPr>
        <w:t>Falia Nemirovsk</w:t>
      </w:r>
      <w:r>
        <w:t>, orientată în direcţie de nord-vest şi care se află în afara t</w:t>
      </w:r>
      <w:r w:rsidRPr="00F73FAA">
        <w:t>eritoriului</w:t>
      </w:r>
      <w:r>
        <w:rPr>
          <w:i/>
        </w:rPr>
        <w:t xml:space="preserve"> </w:t>
      </w:r>
      <w:r>
        <w:t>Republicii Moldova.</w:t>
      </w:r>
    </w:p>
    <w:p w:rsidR="008B2CDC" w:rsidRDefault="008B2CDC" w:rsidP="008B2CDC">
      <w:pPr>
        <w:pStyle w:val="a4"/>
        <w:ind w:firstLine="720"/>
      </w:pPr>
      <w:r>
        <w:t xml:space="preserve">Rocile metamorfogene ale </w:t>
      </w:r>
      <w:r>
        <w:rPr>
          <w:i/>
        </w:rPr>
        <w:t>Seriei Nistru-Bug</w:t>
      </w:r>
      <w:r>
        <w:t xml:space="preserve"> alcătuiesc un complex stratigrafic şi sunt cele mai vechi formaţiuni din regiune. În baza compoziţiei litologice seria este diferenţiată în câteva unităţi stratigrafice locale (</w:t>
      </w:r>
      <w:r>
        <w:rPr>
          <w:i/>
        </w:rPr>
        <w:t>Tabelul 1</w:t>
      </w:r>
      <w:r>
        <w:t>). Teritoriile din regiunile geografice, indicate în schema corelativă, se deosebesc una de alta din punct de vedere geologic, iar grupele de roci metamorfozate izofaciale formează complexe stratigrafice independente. O trăsătură comună a seriilor constă în prezenţa numeroaselor roci metamorfozate în faciesul granulitic.</w:t>
      </w:r>
    </w:p>
    <w:p w:rsidR="008B2CDC" w:rsidRDefault="008B2CDC" w:rsidP="008B2CDC">
      <w:pPr>
        <w:pStyle w:val="a4"/>
        <w:ind w:firstLine="720"/>
      </w:pPr>
      <w:r>
        <w:t xml:space="preserve">Diferenţierea stratigrafică în subdiviziuni inferioare este o problemă, dar, cu unele admiteri, ea poate fi soluţionată în baza rocilor tipice, care fac parte din compoziţia seriei. Astfel, în cadrul </w:t>
      </w:r>
      <w:r>
        <w:rPr>
          <w:i/>
        </w:rPr>
        <w:t>Megablocului Beloţerkovsk</w:t>
      </w:r>
      <w:r>
        <w:t xml:space="preserve"> (</w:t>
      </w:r>
      <w:r>
        <w:rPr>
          <w:i/>
        </w:rPr>
        <w:t>Bug-Rosinsk</w:t>
      </w:r>
      <w:r>
        <w:t xml:space="preserve">), din regiunea centrală a Bazinului râului Nistru, sunt delimitate unităţi metamorfice stratificate </w:t>
      </w:r>
      <w:r>
        <w:rPr>
          <w:i/>
        </w:rPr>
        <w:t>Tâvrovsk</w:t>
      </w:r>
      <w:r>
        <w:t xml:space="preserve">, </w:t>
      </w:r>
      <w:r>
        <w:rPr>
          <w:i/>
        </w:rPr>
        <w:t>Pavlovsk</w:t>
      </w:r>
      <w:r>
        <w:t xml:space="preserve"> şi </w:t>
      </w:r>
      <w:r>
        <w:rPr>
          <w:i/>
        </w:rPr>
        <w:t>Zelenolevadovsk</w:t>
      </w:r>
      <w:r>
        <w:t>.</w:t>
      </w:r>
    </w:p>
    <w:p w:rsidR="008B2CDC" w:rsidRDefault="008B2CDC" w:rsidP="008B2CDC">
      <w:pPr>
        <w:pStyle w:val="a4"/>
        <w:ind w:firstLine="720"/>
      </w:pPr>
      <w:r>
        <w:t xml:space="preserve">În cadrul blocului </w:t>
      </w:r>
      <w:r>
        <w:rPr>
          <w:i/>
        </w:rPr>
        <w:t>Podolsk</w:t>
      </w:r>
      <w:r>
        <w:t xml:space="preserve">, stratele bazale </w:t>
      </w:r>
      <w:r>
        <w:rPr>
          <w:i/>
        </w:rPr>
        <w:t>Tâvrovsk</w:t>
      </w:r>
      <w:r>
        <w:t xml:space="preserve"> sunt acoperite de strate </w:t>
      </w:r>
      <w:r>
        <w:rPr>
          <w:i/>
        </w:rPr>
        <w:t>Berezinsk</w:t>
      </w:r>
      <w:r>
        <w:t>.</w:t>
      </w:r>
    </w:p>
    <w:p w:rsidR="008B2CDC" w:rsidRDefault="008B2CDC" w:rsidP="008B2CDC">
      <w:pPr>
        <w:pStyle w:val="a4"/>
        <w:ind w:firstLine="720"/>
        <w:rPr>
          <w:i/>
        </w:rPr>
      </w:pPr>
      <w:r w:rsidRPr="00FA3CCE">
        <w:t>Formaţiunile</w:t>
      </w:r>
      <w:r>
        <w:t xml:space="preserve"> proterozoicului inferior spre nord-vest de t</w:t>
      </w:r>
      <w:r w:rsidRPr="00FA3CCE">
        <w:t>eritoriu</w:t>
      </w:r>
      <w:r>
        <w:t>l Republicii Moldova alcătuiesc</w:t>
      </w:r>
      <w:r>
        <w:rPr>
          <w:i/>
        </w:rPr>
        <w:t xml:space="preserve"> Seria Bugului, care</w:t>
      </w:r>
      <w:r>
        <w:t xml:space="preserve"> este diferenţiată în </w:t>
      </w:r>
      <w:r>
        <w:rPr>
          <w:i/>
        </w:rPr>
        <w:t>Formaţiunile stratificate Koşaro-Alexandrovsk</w:t>
      </w:r>
      <w:r>
        <w:t xml:space="preserve">, </w:t>
      </w:r>
      <w:r>
        <w:rPr>
          <w:i/>
        </w:rPr>
        <w:t>Haşcevato-Zavalevsk</w:t>
      </w:r>
      <w:r>
        <w:t xml:space="preserve"> şi </w:t>
      </w:r>
      <w:r>
        <w:rPr>
          <w:i/>
        </w:rPr>
        <w:t>Sinţevsk</w:t>
      </w:r>
      <w:r>
        <w:t xml:space="preserve">. Subdiviziunea stratigrafică locală </w:t>
      </w:r>
      <w:r>
        <w:rPr>
          <w:i/>
        </w:rPr>
        <w:t>Seria Bugului</w:t>
      </w:r>
      <w:r>
        <w:t xml:space="preserve"> poartă un caracter condiţional şi este evidenţiată numai în baza compoziţiei litologice, deosebită de </w:t>
      </w:r>
      <w:r>
        <w:rPr>
          <w:i/>
        </w:rPr>
        <w:t>Seria</w:t>
      </w:r>
      <w:r>
        <w:t xml:space="preserve"> </w:t>
      </w:r>
      <w:r>
        <w:rPr>
          <w:i/>
        </w:rPr>
        <w:t>Nistru-Bug</w:t>
      </w:r>
      <w:r>
        <w:t xml:space="preserve"> (</w:t>
      </w:r>
      <w:r>
        <w:rPr>
          <w:i/>
        </w:rPr>
        <w:t>CSRU</w:t>
      </w:r>
      <w:r>
        <w:t>). Aici sunt frecvent depistate cuarţite (până la 50% din masa totală a rocilor), roci cu o cantitate relativ mai mare de alumosilicaţi, roci carbonatice şi gnaise grafitice.</w:t>
      </w:r>
    </w:p>
    <w:p w:rsidR="008B2CDC" w:rsidRDefault="008B2CDC" w:rsidP="008B2CDC">
      <w:pPr>
        <w:pStyle w:val="a4"/>
        <w:ind w:firstLine="720"/>
      </w:pPr>
      <w:r>
        <w:t>În formaţiunile cristaline ale proterozoicului inferior sunt frecvente rocile granitice ultrametamorfozate izofacial. Perioada şi consecutivitatea de constituire a formaţiunilor ultrametamorfice reflectă evoluţia proceselor geodinamice ale zonelor preponderent formate din granitoide, metamorfozate ulterior în diverse faciese metamorfice progresive sau regresive.</w:t>
      </w:r>
    </w:p>
    <w:p w:rsidR="008B2CDC" w:rsidRDefault="008B2CDC" w:rsidP="008B2CDC">
      <w:pPr>
        <w:pStyle w:val="a4"/>
        <w:ind w:firstLine="720"/>
      </w:pPr>
      <w:r>
        <w:t>Analizând procesele magmatice şi de ultrametamorfism, care au avut loc în precambrianul scuturilor cristaline euroasiatice, granitoidele proterozoice şi arhaice pot fi sistematizate în grupe specifice: grupa charnockitelor, migmatitelor şi enderbitelor ale formaţiunilor pregeosinclinale, grupa migmatit-granitică a formaţiunilor singeosinclinale şi a formaţiunilor granitice postgeosinclinale cu o compoziţie mixtă şi grupa alaskit-pegmatitică.</w:t>
      </w:r>
    </w:p>
    <w:p w:rsidR="008B2CDC" w:rsidRDefault="008B2CDC" w:rsidP="008B2CDC">
      <w:pPr>
        <w:pStyle w:val="a4"/>
        <w:ind w:firstLine="720"/>
      </w:pPr>
      <w:r>
        <w:t xml:space="preserve">În limitele pantei de sud-vest a </w:t>
      </w:r>
      <w:r>
        <w:rPr>
          <w:i/>
        </w:rPr>
        <w:t xml:space="preserve">Scutului Cristalin Ucrainean </w:t>
      </w:r>
      <w:r>
        <w:t>sunt evidenţiate trei complexe de roci granitice de vârstă diferită: formaţiunea enderbitelor, formaţiunea plagiogranitelor şi tonalitelor, formaţiunea granitelor şi charnockitelor.</w:t>
      </w:r>
    </w:p>
    <w:p w:rsidR="008B2CDC" w:rsidRDefault="008B2CDC" w:rsidP="008B2CDC">
      <w:pPr>
        <w:pStyle w:val="a4"/>
        <w:ind w:firstLine="720"/>
      </w:pPr>
      <w:r>
        <w:t>Rocile fundamentului cristalin din nordul şi nord-vestul Interfluviului Nistru-Prut au fost permanent modificate într-un proces metamofic regresiv (diaftoreză). Rocile regresiv metamorfozate, specifice după conţinut, formează în crusta din regiunea centrală a bazinului r. Nistru terenuri fragmentate, care pot fi cercetate fără probleme şi reprezentate la scara 1:200000.</w:t>
      </w:r>
    </w:p>
    <w:p w:rsidR="008B2CDC" w:rsidRDefault="008B2CDC" w:rsidP="008B2CDC">
      <w:pPr>
        <w:pStyle w:val="a4"/>
      </w:pPr>
    </w:p>
    <w:p w:rsidR="008B2CDC" w:rsidRDefault="008B2CDC" w:rsidP="008B2CDC">
      <w:pPr>
        <w:pStyle w:val="a4"/>
      </w:pPr>
    </w:p>
    <w:p w:rsidR="008B2CDC" w:rsidRDefault="008B2CDC" w:rsidP="008B2CDC">
      <w:pPr>
        <w:jc w:val="right"/>
        <w:rPr>
          <w:lang w:val="ro-RO"/>
        </w:rPr>
      </w:pPr>
    </w:p>
    <w:p w:rsidR="008B2CDC" w:rsidRDefault="008B2CDC" w:rsidP="008B2CDC">
      <w:pPr>
        <w:jc w:val="right"/>
        <w:rPr>
          <w:lang w:val="ro-RO"/>
        </w:rPr>
      </w:pPr>
      <w:r>
        <w:rPr>
          <w:lang w:val="ro-RO"/>
        </w:rPr>
        <w:t>Tabelul 1</w:t>
      </w:r>
    </w:p>
    <w:p w:rsidR="008B2CDC" w:rsidRDefault="008B2CDC" w:rsidP="008B2CDC">
      <w:pPr>
        <w:jc w:val="right"/>
        <w:rPr>
          <w:lang w:val="ro-RO"/>
        </w:rPr>
      </w:pPr>
    </w:p>
    <w:p w:rsidR="008B2CDC" w:rsidRDefault="008B2CDC" w:rsidP="008B2CDC">
      <w:pPr>
        <w:jc w:val="center"/>
        <w:rPr>
          <w:lang w:val="ro-RO"/>
        </w:rPr>
      </w:pPr>
      <w:r>
        <w:rPr>
          <w:lang w:val="ro-RO"/>
        </w:rPr>
        <w:t>Formaţiunile cristaline din regiunea de sud-vest a Scutului Cristalin Ucrainean (Zaharov, 1987)</w:t>
      </w:r>
    </w:p>
    <w:p w:rsidR="008B2CDC" w:rsidRDefault="008B2CDC" w:rsidP="008B2CDC">
      <w:pPr>
        <w:jc w:val="center"/>
        <w:rPr>
          <w:lang w:val="ro-RO"/>
        </w:rPr>
      </w:pPr>
    </w:p>
    <w:p w:rsidR="008B2CDC" w:rsidRPr="00682463" w:rsidRDefault="008B2CDC" w:rsidP="008B2CDC">
      <w:pPr>
        <w:jc w:val="center"/>
        <w:rPr>
          <w:sz w:val="16"/>
          <w:szCs w:val="16"/>
          <w:lang w:val="ro-RO"/>
        </w:rPr>
      </w:pPr>
    </w:p>
    <w:tbl>
      <w:tblPr>
        <w:tblStyle w:val="a3"/>
        <w:tblW w:w="0" w:type="auto"/>
        <w:tblLook w:val="01E0"/>
      </w:tblPr>
      <w:tblGrid>
        <w:gridCol w:w="985"/>
        <w:gridCol w:w="1591"/>
        <w:gridCol w:w="2237"/>
        <w:gridCol w:w="2299"/>
        <w:gridCol w:w="2459"/>
      </w:tblGrid>
      <w:tr w:rsidR="008B2CDC" w:rsidRPr="00682463" w:rsidTr="0076742F">
        <w:trPr>
          <w:cantSplit/>
          <w:trHeight w:val="328"/>
        </w:trPr>
        <w:tc>
          <w:tcPr>
            <w:tcW w:w="1008" w:type="dxa"/>
            <w:vMerge w:val="restart"/>
            <w:vAlign w:val="center"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vertAlign w:val="superscript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n·10</w:t>
            </w:r>
            <w:r w:rsidRPr="00682463">
              <w:rPr>
                <w:sz w:val="20"/>
                <w:szCs w:val="20"/>
                <w:vertAlign w:val="superscript"/>
                <w:lang w:val="ro-RO"/>
              </w:rPr>
              <w:t>6</w:t>
            </w:r>
          </w:p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ani</w:t>
            </w:r>
          </w:p>
        </w:tc>
        <w:tc>
          <w:tcPr>
            <w:tcW w:w="1620" w:type="dxa"/>
            <w:vMerge w:val="restart"/>
            <w:vAlign w:val="center"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Unitate</w:t>
            </w:r>
          </w:p>
          <w:p w:rsidR="008B2CDC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stratigrafică</w:t>
            </w:r>
          </w:p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generală</w:t>
            </w:r>
          </w:p>
        </w:tc>
        <w:tc>
          <w:tcPr>
            <w:tcW w:w="2282" w:type="dxa"/>
            <w:vMerge w:val="restart"/>
            <w:vAlign w:val="center"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Formaţiuni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82463">
              <w:rPr>
                <w:sz w:val="20"/>
                <w:szCs w:val="20"/>
                <w:lang w:val="ro-RO"/>
              </w:rPr>
              <w:t>petrografice</w:t>
            </w:r>
          </w:p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şi complexe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82463">
              <w:rPr>
                <w:sz w:val="20"/>
                <w:szCs w:val="20"/>
                <w:lang w:val="ro-RO"/>
              </w:rPr>
              <w:t>de roci</w:t>
            </w:r>
          </w:p>
        </w:tc>
        <w:tc>
          <w:tcPr>
            <w:tcW w:w="4918" w:type="dxa"/>
            <w:gridSpan w:val="2"/>
            <w:vAlign w:val="center"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Unitatea stratigrafică locală</w:t>
            </w:r>
          </w:p>
        </w:tc>
      </w:tr>
      <w:tr w:rsidR="008B2CDC" w:rsidTr="0076742F">
        <w:trPr>
          <w:trHeight w:val="360"/>
        </w:trPr>
        <w:tc>
          <w:tcPr>
            <w:tcW w:w="1008" w:type="dxa"/>
            <w:vMerge/>
          </w:tcPr>
          <w:p w:rsidR="008B2CDC" w:rsidRDefault="008B2CDC" w:rsidP="0076742F">
            <w:pPr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:rsidR="008B2CDC" w:rsidRDefault="008B2CDC" w:rsidP="0076742F">
            <w:pPr>
              <w:jc w:val="center"/>
              <w:rPr>
                <w:lang w:val="ro-RO"/>
              </w:rPr>
            </w:pPr>
          </w:p>
        </w:tc>
        <w:tc>
          <w:tcPr>
            <w:tcW w:w="2282" w:type="dxa"/>
            <w:vMerge/>
          </w:tcPr>
          <w:p w:rsidR="008B2CDC" w:rsidRDefault="008B2CDC" w:rsidP="0076742F">
            <w:pPr>
              <w:jc w:val="center"/>
              <w:rPr>
                <w:lang w:val="ro-RO"/>
              </w:rPr>
            </w:pPr>
          </w:p>
        </w:tc>
        <w:tc>
          <w:tcPr>
            <w:tcW w:w="2398" w:type="dxa"/>
            <w:vAlign w:val="center"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Serii</w:t>
            </w:r>
          </w:p>
        </w:tc>
        <w:tc>
          <w:tcPr>
            <w:tcW w:w="2520" w:type="dxa"/>
            <w:vAlign w:val="center"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Formaţiuni stratificate</w:t>
            </w:r>
          </w:p>
        </w:tc>
      </w:tr>
      <w:tr w:rsidR="008B2CDC" w:rsidRPr="00682463" w:rsidTr="0076742F">
        <w:trPr>
          <w:cantSplit/>
          <w:trHeight w:val="1134"/>
        </w:trPr>
        <w:tc>
          <w:tcPr>
            <w:tcW w:w="1008" w:type="dxa"/>
          </w:tcPr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- 2000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- 2500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620" w:type="dxa"/>
            <w:textDirection w:val="btLr"/>
            <w:vAlign w:val="center"/>
          </w:tcPr>
          <w:p w:rsidR="008B2CDC" w:rsidRPr="00682463" w:rsidRDefault="008B2CDC" w:rsidP="0076742F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Proterozoicul inferior</w:t>
            </w:r>
          </w:p>
        </w:tc>
        <w:tc>
          <w:tcPr>
            <w:tcW w:w="2282" w:type="dxa"/>
            <w:vMerge w:val="restart"/>
          </w:tcPr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- 2000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 Formaţiunea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 charnockitelor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 şi granitelor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- 2200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- 2550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Formaţiunea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plagiogranitelor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şi tonalitelor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- 2800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- 2850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Formaţiunea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enderbitelor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- 3150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- 3300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Complexul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de roci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ultrametamorfice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- 3750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</w:tcPr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- 1600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Seria Bugului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- 2150</w:t>
            </w:r>
          </w:p>
        </w:tc>
        <w:tc>
          <w:tcPr>
            <w:tcW w:w="2520" w:type="dxa"/>
          </w:tcPr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- 1600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Stratele Sinţevsk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- 1850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Stratele Haşcevato-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- Zavalievsk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- 2000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Stratele Coşaro-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- Alexandrovsk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- 2150</w:t>
            </w:r>
          </w:p>
        </w:tc>
      </w:tr>
      <w:tr w:rsidR="008B2CDC" w:rsidRPr="00682463" w:rsidTr="0076742F">
        <w:trPr>
          <w:cantSplit/>
          <w:trHeight w:val="1134"/>
        </w:trPr>
        <w:tc>
          <w:tcPr>
            <w:tcW w:w="1008" w:type="dxa"/>
          </w:tcPr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- 3000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</w:tc>
        <w:tc>
          <w:tcPr>
            <w:tcW w:w="1620" w:type="dxa"/>
            <w:textDirection w:val="btLr"/>
            <w:vAlign w:val="center"/>
          </w:tcPr>
          <w:p w:rsidR="008B2CDC" w:rsidRPr="00682463" w:rsidRDefault="008B2CDC" w:rsidP="0076742F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Arhaicul superior</w:t>
            </w:r>
          </w:p>
        </w:tc>
        <w:tc>
          <w:tcPr>
            <w:tcW w:w="2282" w:type="dxa"/>
            <w:vMerge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 w:val="restart"/>
          </w:tcPr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- 2950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Seria Nistru-Bug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- 3700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vMerge w:val="restart"/>
          </w:tcPr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- 2950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Stratele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Zelenolevadovsk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- 3250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 Stratele Pavlovsk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- 3450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        Stratele Tâvrovsk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- 3700</w:t>
            </w:r>
          </w:p>
        </w:tc>
      </w:tr>
      <w:tr w:rsidR="008B2CDC" w:rsidRPr="00682463" w:rsidTr="0076742F">
        <w:trPr>
          <w:cantSplit/>
          <w:trHeight w:val="1134"/>
        </w:trPr>
        <w:tc>
          <w:tcPr>
            <w:tcW w:w="1008" w:type="dxa"/>
          </w:tcPr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- 3500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Pr="00682463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</w:t>
            </w:r>
          </w:p>
          <w:p w:rsidR="008B2CDC" w:rsidRDefault="008B2CDC" w:rsidP="0076742F">
            <w:pPr>
              <w:rPr>
                <w:sz w:val="20"/>
                <w:szCs w:val="20"/>
                <w:lang w:val="ro-RO"/>
              </w:rPr>
            </w:pPr>
            <w:r w:rsidRPr="00682463">
              <w:rPr>
                <w:sz w:val="20"/>
                <w:szCs w:val="20"/>
                <w:lang w:val="ro-RO"/>
              </w:rPr>
              <w:t>- 4000</w:t>
            </w:r>
          </w:p>
          <w:p w:rsidR="008B2CDC" w:rsidRPr="00830B2C" w:rsidRDefault="008B2CDC" w:rsidP="0076742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8B2CDC" w:rsidRPr="00682463" w:rsidRDefault="008B2CDC" w:rsidP="0076742F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Arhaicul inferior</w:t>
            </w:r>
          </w:p>
        </w:tc>
        <w:tc>
          <w:tcPr>
            <w:tcW w:w="2282" w:type="dxa"/>
            <w:vMerge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vMerge/>
          </w:tcPr>
          <w:p w:rsidR="008B2CDC" w:rsidRPr="00682463" w:rsidRDefault="008B2CDC" w:rsidP="0076742F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:rsidR="008B2CDC" w:rsidRDefault="008B2CDC" w:rsidP="008B2CDC">
      <w:pPr>
        <w:pStyle w:val="a4"/>
      </w:pPr>
      <w:r>
        <w:br w:type="page"/>
      </w:r>
    </w:p>
    <w:p w:rsidR="008B2CDC" w:rsidRPr="00891EA2" w:rsidRDefault="008B2CDC" w:rsidP="008B2CDC">
      <w:pPr>
        <w:jc w:val="center"/>
        <w:rPr>
          <w:lang w:val="ro-RO"/>
        </w:rPr>
      </w:pPr>
      <w:r>
        <w:rPr>
          <w:lang w:val="ro-RO"/>
        </w:rPr>
        <w:lastRenderedPageBreak/>
        <w:t xml:space="preserve">1. </w:t>
      </w:r>
      <w:r>
        <w:rPr>
          <w:i/>
          <w:lang w:val="ro-RO"/>
        </w:rPr>
        <w:t>Grupa Arhaică</w:t>
      </w:r>
    </w:p>
    <w:p w:rsidR="008B2CDC" w:rsidRPr="00891EA2" w:rsidRDefault="008B2CDC" w:rsidP="008B2CDC">
      <w:pPr>
        <w:jc w:val="center"/>
        <w:rPr>
          <w:lang w:val="ro-RO"/>
        </w:rPr>
      </w:pPr>
      <w:r>
        <w:rPr>
          <w:lang w:val="ro-RO"/>
        </w:rPr>
        <w:t>1.1.</w:t>
      </w:r>
      <w:r>
        <w:rPr>
          <w:i/>
          <w:lang w:val="ro-RO"/>
        </w:rPr>
        <w:t xml:space="preserve"> Formaţiuni stratificate</w:t>
      </w:r>
    </w:p>
    <w:p w:rsidR="008B2CDC" w:rsidRDefault="008B2CDC" w:rsidP="008B2CDC">
      <w:pPr>
        <w:jc w:val="center"/>
        <w:rPr>
          <w:lang w:val="ro-RO"/>
        </w:rPr>
      </w:pPr>
      <w:r>
        <w:rPr>
          <w:lang w:val="ro-RO"/>
        </w:rPr>
        <w:t xml:space="preserve">1.1.1. </w:t>
      </w:r>
      <w:r>
        <w:rPr>
          <w:i/>
          <w:lang w:val="ro-RO"/>
        </w:rPr>
        <w:t>Seria Nistru-Bug</w:t>
      </w:r>
    </w:p>
    <w:p w:rsidR="008B2CDC" w:rsidRDefault="008B2CDC" w:rsidP="008B2CDC">
      <w:pPr>
        <w:jc w:val="center"/>
        <w:rPr>
          <w:lang w:val="ro-RO"/>
        </w:rPr>
      </w:pPr>
    </w:p>
    <w:p w:rsidR="008B2CDC" w:rsidRPr="00891EA2" w:rsidRDefault="008B2CDC" w:rsidP="008B2CDC">
      <w:pPr>
        <w:pStyle w:val="4"/>
      </w:pPr>
      <w:r>
        <w:t xml:space="preserve">     În limitele Teritoriului, Seria Nistru-Bug este prezentată numai de Stratele Tâvrovsk şi Pavlovsk.</w:t>
      </w:r>
    </w:p>
    <w:p w:rsidR="008B2CDC" w:rsidRDefault="008B2CDC" w:rsidP="008B2CDC">
      <w:pPr>
        <w:jc w:val="center"/>
        <w:rPr>
          <w:lang w:val="ro-RO"/>
        </w:rPr>
      </w:pPr>
      <w:r>
        <w:rPr>
          <w:lang w:val="ro-RO"/>
        </w:rPr>
        <w:t xml:space="preserve">1.1.1.1. </w:t>
      </w:r>
      <w:r>
        <w:rPr>
          <w:i/>
          <w:lang w:val="ro-RO"/>
        </w:rPr>
        <w:t>Stratele Tâvrovsk</w:t>
      </w:r>
    </w:p>
    <w:p w:rsidR="008B2CDC" w:rsidRPr="007C0B0A" w:rsidRDefault="008B2CDC" w:rsidP="008B2CDC">
      <w:pPr>
        <w:jc w:val="both"/>
        <w:rPr>
          <w:sz w:val="16"/>
          <w:szCs w:val="16"/>
          <w:lang w:val="ro-RO"/>
        </w:rPr>
      </w:pPr>
    </w:p>
    <w:p w:rsidR="008B2CDC" w:rsidRPr="00313DAC" w:rsidRDefault="008B2CDC" w:rsidP="008B2CDC">
      <w:pPr>
        <w:pStyle w:val="a4"/>
        <w:ind w:firstLine="720"/>
      </w:pPr>
      <w:r>
        <w:t xml:space="preserve">     Rocile acestei subdiviziuni stratigrafice locale se află la baza formaţiunilor arhaice din zonă şi prezintă o formaţiune geologică complexă, alcătuită din şisturi cristaline şi gnaise aşezate în zăcământ între rocile granitice. Rocile de </w:t>
      </w:r>
      <w:r>
        <w:rPr>
          <w:i/>
        </w:rPr>
        <w:t>Tâvrovsk</w:t>
      </w:r>
      <w:r>
        <w:t xml:space="preserve"> sunt modificate de procesele ulterioare de migmatizare, ultrametamorfism şi palingeneză, formând şlire şi corpuri lenticulare cu greu identificate între alte metamorfite. În cadrul </w:t>
      </w:r>
      <w:r w:rsidRPr="00543BF0">
        <w:t xml:space="preserve">teritoriului </w:t>
      </w:r>
      <w:r>
        <w:t>republicii Moldova rocile respective sunt identificate fragmentar şi sunt prezentate de şisturi cristaline amfibol-piroxen-plagioclazice, amfibol-hipersten-plagioclazice sau piroxen-plagioclazice.</w:t>
      </w:r>
    </w:p>
    <w:p w:rsidR="008B2CDC" w:rsidRPr="00543BF0" w:rsidRDefault="008B2CDC" w:rsidP="008B2CDC">
      <w:pPr>
        <w:jc w:val="both"/>
        <w:rPr>
          <w:lang w:val="ro-RO"/>
        </w:rPr>
      </w:pPr>
    </w:p>
    <w:p w:rsidR="008B2CDC" w:rsidRDefault="008B2CDC" w:rsidP="008B2CDC">
      <w:pPr>
        <w:jc w:val="center"/>
        <w:rPr>
          <w:lang w:val="ro-RO"/>
        </w:rPr>
      </w:pPr>
      <w:r>
        <w:rPr>
          <w:lang w:val="ro-RO"/>
        </w:rPr>
        <w:t xml:space="preserve">1.1.1.2. </w:t>
      </w:r>
      <w:r>
        <w:rPr>
          <w:i/>
          <w:lang w:val="ro-RO"/>
        </w:rPr>
        <w:t>Stratele Pavlovsk</w:t>
      </w:r>
    </w:p>
    <w:p w:rsidR="008B2CDC" w:rsidRPr="007C0B0A" w:rsidRDefault="008B2CDC" w:rsidP="008B2CDC">
      <w:pPr>
        <w:jc w:val="both"/>
        <w:rPr>
          <w:sz w:val="16"/>
          <w:szCs w:val="16"/>
          <w:lang w:val="ro-RO"/>
        </w:rPr>
      </w:pPr>
    </w:p>
    <w:p w:rsidR="008B2CDC" w:rsidRDefault="008B2CDC" w:rsidP="008B2CDC">
      <w:pPr>
        <w:ind w:firstLine="720"/>
        <w:jc w:val="both"/>
        <w:rPr>
          <w:lang w:val="ro-RO"/>
        </w:rPr>
      </w:pPr>
      <w:r>
        <w:rPr>
          <w:lang w:val="ro-RO"/>
        </w:rPr>
        <w:t>Asemănător rocilor de</w:t>
      </w:r>
      <w:r>
        <w:rPr>
          <w:i/>
          <w:lang w:val="ro-RO"/>
        </w:rPr>
        <w:t xml:space="preserve"> Tâvrovsk</w:t>
      </w:r>
      <w:r>
        <w:rPr>
          <w:lang w:val="ro-RO"/>
        </w:rPr>
        <w:t xml:space="preserve">, rocile din </w:t>
      </w:r>
      <w:r>
        <w:rPr>
          <w:i/>
          <w:lang w:val="ro-RO"/>
        </w:rPr>
        <w:t>Formaţiunea straificată Pavlovsk</w:t>
      </w:r>
      <w:r>
        <w:rPr>
          <w:lang w:val="ro-RO"/>
        </w:rPr>
        <w:t xml:space="preserve"> formează fragmente ale structurilor locale, situate între granitele ultrametamorfozate. Corpurile formate din rocile de </w:t>
      </w:r>
      <w:r>
        <w:rPr>
          <w:i/>
          <w:lang w:val="ro-RO"/>
        </w:rPr>
        <w:t>Pavlovsk</w:t>
      </w:r>
      <w:r>
        <w:rPr>
          <w:lang w:val="ro-RO"/>
        </w:rPr>
        <w:t xml:space="preserve"> generează anomalii magnetice locale, care se corelează într-o zonă circulară relativ mică după dimensiuni, cu un nucleu alcătuit din migmatite şi alaskite. Rocile tipice de </w:t>
      </w:r>
      <w:r>
        <w:rPr>
          <w:i/>
          <w:lang w:val="ro-RO"/>
        </w:rPr>
        <w:t>Pavlovsk</w:t>
      </w:r>
      <w:r>
        <w:rPr>
          <w:lang w:val="ro-RO"/>
        </w:rPr>
        <w:t xml:space="preserve"> sunt prezentate preponderent din plagiognaise cu cantităţi reduse de granaţi sau plagiognaise granatice cu o cantitate de granat până la 10% din volum. </w:t>
      </w:r>
    </w:p>
    <w:p w:rsidR="008B2CDC" w:rsidRDefault="008B2CDC" w:rsidP="008B2CDC">
      <w:pPr>
        <w:jc w:val="both"/>
        <w:rPr>
          <w:lang w:val="ro-RO"/>
        </w:rPr>
      </w:pPr>
    </w:p>
    <w:p w:rsidR="008B2CDC" w:rsidRDefault="008B2CDC" w:rsidP="008B2CDC">
      <w:pPr>
        <w:jc w:val="center"/>
        <w:rPr>
          <w:i/>
          <w:lang w:val="ro-RO"/>
        </w:rPr>
      </w:pPr>
      <w:r>
        <w:rPr>
          <w:lang w:val="ro-RO"/>
        </w:rPr>
        <w:t xml:space="preserve">1.2  </w:t>
      </w:r>
      <w:r>
        <w:rPr>
          <w:i/>
          <w:lang w:val="ro-RO"/>
        </w:rPr>
        <w:t>Formaţiunile granitelor arhaice</w:t>
      </w:r>
    </w:p>
    <w:p w:rsidR="008B2CDC" w:rsidRPr="007C0B0A" w:rsidRDefault="008B2CDC" w:rsidP="008B2CDC">
      <w:pPr>
        <w:jc w:val="center"/>
        <w:rPr>
          <w:sz w:val="16"/>
          <w:szCs w:val="16"/>
          <w:lang w:val="ro-RO"/>
        </w:rPr>
      </w:pPr>
    </w:p>
    <w:p w:rsidR="008B2CDC" w:rsidRDefault="008B2CDC" w:rsidP="008B2CDC">
      <w:pPr>
        <w:jc w:val="both"/>
        <w:rPr>
          <w:lang w:val="ro-RO"/>
        </w:rPr>
      </w:pPr>
      <w:r>
        <w:t xml:space="preserve">     </w:t>
      </w:r>
      <w:proofErr w:type="spellStart"/>
      <w:proofErr w:type="gramStart"/>
      <w:r>
        <w:t>Specificul</w:t>
      </w:r>
      <w:proofErr w:type="spellEnd"/>
      <w:r>
        <w:t xml:space="preserve"> </w:t>
      </w:r>
      <w:proofErr w:type="spellStart"/>
      <w:r>
        <w:t>formaţiunilor</w:t>
      </w:r>
      <w:proofErr w:type="spellEnd"/>
      <w:r>
        <w:t xml:space="preserve"> </w:t>
      </w:r>
      <w:proofErr w:type="spellStart"/>
      <w:r>
        <w:t>arhaice</w:t>
      </w:r>
      <w:proofErr w:type="spellEnd"/>
      <w:r>
        <w:t xml:space="preserve"> ale </w:t>
      </w:r>
      <w:proofErr w:type="spellStart"/>
      <w:r>
        <w:t>scuturilor</w:t>
      </w:r>
      <w:proofErr w:type="spellEnd"/>
      <w:r>
        <w:t xml:space="preserve"> </w:t>
      </w:r>
      <w:proofErr w:type="spellStart"/>
      <w:r>
        <w:t>cristaline</w:t>
      </w:r>
      <w:proofErr w:type="spellEnd"/>
      <w:r>
        <w:t xml:space="preserve"> se 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numeroaselor</w:t>
      </w:r>
      <w:proofErr w:type="spellEnd"/>
      <w:r>
        <w:t xml:space="preserve"> </w:t>
      </w:r>
      <w:proofErr w:type="spellStart"/>
      <w:r>
        <w:t>varietăţi</w:t>
      </w:r>
      <w:proofErr w:type="spellEnd"/>
      <w:r>
        <w:t xml:space="preserve"> </w:t>
      </w:r>
      <w:proofErr w:type="spellStart"/>
      <w:r>
        <w:t>litologice</w:t>
      </w:r>
      <w:proofErr w:type="spellEnd"/>
      <w:r>
        <w:t xml:space="preserve"> ale </w:t>
      </w:r>
      <w:proofErr w:type="spellStart"/>
      <w:r>
        <w:t>rocilor</w:t>
      </w:r>
      <w:proofErr w:type="spellEnd"/>
      <w:r>
        <w:t xml:space="preserve"> </w:t>
      </w:r>
      <w:proofErr w:type="spellStart"/>
      <w:r>
        <w:t>granitice</w:t>
      </w:r>
      <w:proofErr w:type="spellEnd"/>
      <w:r>
        <w:t xml:space="preserve">, care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legături</w:t>
      </w:r>
      <w:proofErr w:type="spellEnd"/>
      <w:r>
        <w:t xml:space="preserve"> </w:t>
      </w:r>
      <w:proofErr w:type="spellStart"/>
      <w:r>
        <w:t>corelative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roci</w:t>
      </w:r>
      <w:proofErr w:type="spellEnd"/>
      <w:r>
        <w:t xml:space="preserve"> </w:t>
      </w:r>
      <w:proofErr w:type="spellStart"/>
      <w:r>
        <w:t>cristaline</w:t>
      </w:r>
      <w:proofErr w:type="spellEnd"/>
      <w:r>
        <w:t xml:space="preserve"> ale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litosferic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pot </w:t>
      </w:r>
      <w:proofErr w:type="spellStart"/>
      <w:r>
        <w:t>fi</w:t>
      </w:r>
      <w:proofErr w:type="spellEnd"/>
      <w:r>
        <w:t xml:space="preserve"> </w:t>
      </w:r>
      <w:proofErr w:type="spellStart"/>
      <w:r>
        <w:t>cercetate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geocronologic</w:t>
      </w:r>
      <w:proofErr w:type="spellEnd"/>
      <w:r>
        <w:t>.</w:t>
      </w:r>
      <w:proofErr w:type="gramEnd"/>
      <w:r>
        <w:t xml:space="preserve"> </w:t>
      </w:r>
      <w:proofErr w:type="spellStart"/>
      <w:r>
        <w:t>Formaţiunile</w:t>
      </w:r>
      <w:proofErr w:type="spellEnd"/>
      <w:r>
        <w:t xml:space="preserve"> </w:t>
      </w:r>
      <w:proofErr w:type="spellStart"/>
      <w:r>
        <w:t>granitice</w:t>
      </w:r>
      <w:proofErr w:type="spellEnd"/>
      <w:r>
        <w:t xml:space="preserve"> </w:t>
      </w:r>
      <w:r>
        <w:rPr>
          <w:lang w:val="ro-RO"/>
        </w:rPr>
        <w:t xml:space="preserve">arhaice </w:t>
      </w:r>
      <w:proofErr w:type="spellStart"/>
      <w:r>
        <w:t>sunt</w:t>
      </w:r>
      <w:proofErr w:type="spellEnd"/>
      <w:r>
        <w:t xml:space="preserve"> genetic legate cu </w:t>
      </w:r>
      <w:proofErr w:type="spellStart"/>
      <w:r>
        <w:t>etapele</w:t>
      </w:r>
      <w:proofErr w:type="spellEnd"/>
      <w:r>
        <w:t xml:space="preserve"> finale ale </w:t>
      </w:r>
      <w:proofErr w:type="spellStart"/>
      <w:r>
        <w:t>ciclurilor</w:t>
      </w:r>
      <w:proofErr w:type="spellEnd"/>
      <w:r>
        <w:t xml:space="preserve"> </w:t>
      </w:r>
      <w:proofErr w:type="spellStart"/>
      <w:r>
        <w:t>geotectonice</w:t>
      </w:r>
      <w:proofErr w:type="spellEnd"/>
      <w:r>
        <w:t xml:space="preserve"> active</w:t>
      </w:r>
      <w:r w:rsidRPr="00313DAC">
        <w:rPr>
          <w:lang w:val="ro-RO"/>
        </w:rPr>
        <w:t xml:space="preserve"> şi</w:t>
      </w:r>
      <w:r>
        <w:t xml:space="preserve"> </w:t>
      </w:r>
      <w:r>
        <w:rPr>
          <w:lang w:val="ro-RO"/>
        </w:rPr>
        <w:t xml:space="preserve">sunt prezentate de </w:t>
      </w:r>
      <w:r>
        <w:rPr>
          <w:i/>
          <w:lang w:val="ro-RO"/>
        </w:rPr>
        <w:t xml:space="preserve">Formaţiunea </w:t>
      </w:r>
      <w:proofErr w:type="gramStart"/>
      <w:r>
        <w:rPr>
          <w:i/>
          <w:lang w:val="ro-RO"/>
        </w:rPr>
        <w:t>enderbitelor</w:t>
      </w:r>
      <w:r>
        <w:rPr>
          <w:lang w:val="ro-RO"/>
        </w:rPr>
        <w:t xml:space="preserve"> .</w:t>
      </w:r>
      <w:proofErr w:type="gramEnd"/>
    </w:p>
    <w:p w:rsidR="008B2CDC" w:rsidRDefault="008B2CDC" w:rsidP="008B2CDC">
      <w:pPr>
        <w:jc w:val="both"/>
        <w:rPr>
          <w:lang w:val="ro-RO"/>
        </w:rPr>
      </w:pPr>
    </w:p>
    <w:p w:rsidR="008B2CDC" w:rsidRDefault="008B2CDC" w:rsidP="008B2CDC">
      <w:pPr>
        <w:numPr>
          <w:ilvl w:val="2"/>
          <w:numId w:val="1"/>
        </w:numPr>
        <w:jc w:val="center"/>
        <w:rPr>
          <w:i/>
          <w:lang w:val="ro-RO"/>
        </w:rPr>
      </w:pPr>
      <w:r>
        <w:rPr>
          <w:i/>
          <w:lang w:val="ro-RO"/>
        </w:rPr>
        <w:t>Formaţiunea enderbitelor</w:t>
      </w:r>
    </w:p>
    <w:p w:rsidR="008B2CDC" w:rsidRPr="007C0B0A" w:rsidRDefault="008B2CDC" w:rsidP="008B2CDC">
      <w:pPr>
        <w:jc w:val="center"/>
        <w:rPr>
          <w:sz w:val="16"/>
          <w:szCs w:val="16"/>
          <w:lang w:val="ro-RO"/>
        </w:rPr>
      </w:pPr>
    </w:p>
    <w:p w:rsidR="008B2CDC" w:rsidRDefault="008B2CDC" w:rsidP="008B2CDC">
      <w:pPr>
        <w:jc w:val="both"/>
        <w:rPr>
          <w:lang w:val="ro-RO"/>
        </w:rPr>
      </w:pPr>
      <w:r>
        <w:rPr>
          <w:lang w:val="ro-RO"/>
        </w:rPr>
        <w:t xml:space="preserve">     Formaţiunea este prezentată de un grup de roci granitice specifice, care poate fi inclusă în componenţa  </w:t>
      </w:r>
      <w:r>
        <w:rPr>
          <w:i/>
          <w:lang w:val="ro-RO"/>
        </w:rPr>
        <w:t>Seriei Nistru-Bug</w:t>
      </w:r>
      <w:r>
        <w:rPr>
          <w:lang w:val="ro-RO"/>
        </w:rPr>
        <w:t xml:space="preserve"> şi este alcătuită din următoarele roci: enderbite, plagioenderbite, diorit-enderbite, plagiogranite şi mai rar enderbite. Această consecutivitate litologică poate fi un produs al proceselor de migmatizare. Rareori, între rocile formaţiunii cu o compoziţie granitică sunt depistate corpuri mici lenticulare de gabbro-norite.</w:t>
      </w:r>
    </w:p>
    <w:p w:rsidR="008B2CDC" w:rsidRDefault="008B2CDC" w:rsidP="008B2CDC">
      <w:pPr>
        <w:jc w:val="both"/>
        <w:rPr>
          <w:lang w:val="ro-RO"/>
        </w:rPr>
      </w:pPr>
      <w:r>
        <w:rPr>
          <w:lang w:val="ro-RO"/>
        </w:rPr>
        <w:t xml:space="preserve">     </w:t>
      </w:r>
    </w:p>
    <w:p w:rsidR="008B2CDC" w:rsidRDefault="008B2CDC" w:rsidP="008B2CDC">
      <w:pPr>
        <w:numPr>
          <w:ilvl w:val="1"/>
          <w:numId w:val="2"/>
        </w:numPr>
        <w:jc w:val="center"/>
        <w:rPr>
          <w:i/>
          <w:lang w:val="ro-RO"/>
        </w:rPr>
      </w:pPr>
      <w:r>
        <w:rPr>
          <w:lang w:val="ro-RO"/>
        </w:rPr>
        <w:t xml:space="preserve">2. </w:t>
      </w:r>
      <w:r>
        <w:rPr>
          <w:i/>
          <w:lang w:val="ro-RO"/>
        </w:rPr>
        <w:t>Grupa Proterozoică (Proterozoicul inferior).</w:t>
      </w:r>
      <w:r w:rsidRPr="00891EA2">
        <w:rPr>
          <w:i/>
          <w:lang w:val="ro-RO"/>
        </w:rPr>
        <w:t xml:space="preserve"> </w:t>
      </w:r>
      <w:r>
        <w:rPr>
          <w:i/>
          <w:lang w:val="ro-RO"/>
        </w:rPr>
        <w:t>Formaţiunea charnockitelor şi granitelor</w:t>
      </w:r>
    </w:p>
    <w:p w:rsidR="008B2CDC" w:rsidRDefault="008B2CDC" w:rsidP="008B2CDC">
      <w:pPr>
        <w:jc w:val="center"/>
        <w:rPr>
          <w:i/>
          <w:lang w:val="ro-RO"/>
        </w:rPr>
      </w:pPr>
    </w:p>
    <w:p w:rsidR="008B2CDC" w:rsidRPr="007C0B0A" w:rsidRDefault="008B2CDC" w:rsidP="008B2CDC">
      <w:pPr>
        <w:jc w:val="both"/>
        <w:rPr>
          <w:sz w:val="16"/>
          <w:szCs w:val="16"/>
          <w:lang w:val="ro-RO"/>
        </w:rPr>
      </w:pPr>
    </w:p>
    <w:p w:rsidR="008B2CDC" w:rsidRPr="00891EA2" w:rsidRDefault="008B2CDC" w:rsidP="008B2CDC">
      <w:pPr>
        <w:jc w:val="both"/>
        <w:rPr>
          <w:lang w:val="ro-RO"/>
        </w:rPr>
      </w:pPr>
      <w:r>
        <w:rPr>
          <w:lang w:val="ro-RO"/>
        </w:rPr>
        <w:t xml:space="preserve">     În zona centrală a bazinului r. Nistru rocile grupei proterozoice sunt prezentate în general numai de </w:t>
      </w:r>
      <w:r>
        <w:rPr>
          <w:i/>
          <w:lang w:val="ro-RO"/>
        </w:rPr>
        <w:t>Formaţiunea charnockitelor şi granitelor</w:t>
      </w:r>
      <w:r>
        <w:rPr>
          <w:lang w:val="ro-RO"/>
        </w:rPr>
        <w:t xml:space="preserve">. </w:t>
      </w:r>
    </w:p>
    <w:p w:rsidR="008B2CDC" w:rsidRDefault="008B2CDC" w:rsidP="008B2CDC">
      <w:pPr>
        <w:jc w:val="both"/>
        <w:rPr>
          <w:lang w:val="ro-RO"/>
        </w:rPr>
      </w:pPr>
      <w:r>
        <w:rPr>
          <w:lang w:val="ro-RO"/>
        </w:rPr>
        <w:t xml:space="preserve">     În literatura de referinţă această formaţiune este prezentă şi sub denumirea de </w:t>
      </w:r>
      <w:r>
        <w:rPr>
          <w:i/>
          <w:lang w:val="ro-RO"/>
        </w:rPr>
        <w:t>Complexul Berdicevsk</w:t>
      </w:r>
      <w:r>
        <w:rPr>
          <w:lang w:val="ro-RO"/>
        </w:rPr>
        <w:t xml:space="preserve">. Cele mai frecvente roci ale formaţiunii sunt migmatitele cu un aspect tipic de granite, având o textură caracteristică în pete. De regulă, migmatitele </w:t>
      </w:r>
      <w:r>
        <w:rPr>
          <w:i/>
          <w:lang w:val="ro-RO"/>
        </w:rPr>
        <w:t>Formaţiunii charnockitelor şi granitelor</w:t>
      </w:r>
      <w:r>
        <w:rPr>
          <w:lang w:val="ro-RO"/>
        </w:rPr>
        <w:t xml:space="preserve"> se intercalează într-un mod natural cu granitele leucocrate – alaskitele  Pentru granitele formaţiunii este specifică prezenţa unor structuri lenticulare în dimensiuni mici, care pot fi confundate cu corpuri pegmatitice. E de menţionat, că charnockite nu au o răspândire largă.</w:t>
      </w:r>
    </w:p>
    <w:p w:rsidR="004110F0" w:rsidRPr="008B2CDC" w:rsidRDefault="004110F0">
      <w:pPr>
        <w:rPr>
          <w:lang w:val="ro-RO"/>
        </w:rPr>
      </w:pPr>
    </w:p>
    <w:sectPr w:rsidR="004110F0" w:rsidRPr="008B2CDC" w:rsidSect="0041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7D7"/>
    <w:multiLevelType w:val="multilevel"/>
    <w:tmpl w:val="3DD8108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">
    <w:nsid w:val="21046195"/>
    <w:multiLevelType w:val="multilevel"/>
    <w:tmpl w:val="DBC81C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CDC"/>
    <w:rsid w:val="0000172D"/>
    <w:rsid w:val="00011427"/>
    <w:rsid w:val="00015FF1"/>
    <w:rsid w:val="0001724A"/>
    <w:rsid w:val="0004715F"/>
    <w:rsid w:val="000B0BE3"/>
    <w:rsid w:val="000C4896"/>
    <w:rsid w:val="000D1837"/>
    <w:rsid w:val="000E3B0C"/>
    <w:rsid w:val="00107B62"/>
    <w:rsid w:val="00131431"/>
    <w:rsid w:val="001469CC"/>
    <w:rsid w:val="0015388F"/>
    <w:rsid w:val="00175B9E"/>
    <w:rsid w:val="0019183D"/>
    <w:rsid w:val="001B1889"/>
    <w:rsid w:val="001E140E"/>
    <w:rsid w:val="001E3CC2"/>
    <w:rsid w:val="001F4FBF"/>
    <w:rsid w:val="002073EC"/>
    <w:rsid w:val="00207887"/>
    <w:rsid w:val="00213E4D"/>
    <w:rsid w:val="00225559"/>
    <w:rsid w:val="00254446"/>
    <w:rsid w:val="00255524"/>
    <w:rsid w:val="00255FE4"/>
    <w:rsid w:val="00260358"/>
    <w:rsid w:val="002674CF"/>
    <w:rsid w:val="002678E8"/>
    <w:rsid w:val="00297ED9"/>
    <w:rsid w:val="002D6A19"/>
    <w:rsid w:val="00347390"/>
    <w:rsid w:val="00347690"/>
    <w:rsid w:val="003934B9"/>
    <w:rsid w:val="003B47E1"/>
    <w:rsid w:val="003C0031"/>
    <w:rsid w:val="003D50E8"/>
    <w:rsid w:val="00404B52"/>
    <w:rsid w:val="004110F0"/>
    <w:rsid w:val="00452B1D"/>
    <w:rsid w:val="00475FFA"/>
    <w:rsid w:val="00483291"/>
    <w:rsid w:val="00483C51"/>
    <w:rsid w:val="004B23CC"/>
    <w:rsid w:val="004C0E91"/>
    <w:rsid w:val="004D150D"/>
    <w:rsid w:val="00501AD3"/>
    <w:rsid w:val="00502E5A"/>
    <w:rsid w:val="00503F6E"/>
    <w:rsid w:val="0051369D"/>
    <w:rsid w:val="00527381"/>
    <w:rsid w:val="005623A0"/>
    <w:rsid w:val="005672C0"/>
    <w:rsid w:val="005740E0"/>
    <w:rsid w:val="00585312"/>
    <w:rsid w:val="00595480"/>
    <w:rsid w:val="005A1804"/>
    <w:rsid w:val="005B2A9B"/>
    <w:rsid w:val="005D793B"/>
    <w:rsid w:val="00652848"/>
    <w:rsid w:val="00663B88"/>
    <w:rsid w:val="00694F4F"/>
    <w:rsid w:val="006D2780"/>
    <w:rsid w:val="00704F12"/>
    <w:rsid w:val="00714235"/>
    <w:rsid w:val="00724B22"/>
    <w:rsid w:val="00725985"/>
    <w:rsid w:val="00730BD0"/>
    <w:rsid w:val="00742BCA"/>
    <w:rsid w:val="007543DD"/>
    <w:rsid w:val="007660D6"/>
    <w:rsid w:val="00785918"/>
    <w:rsid w:val="007C01D7"/>
    <w:rsid w:val="0080631C"/>
    <w:rsid w:val="00813300"/>
    <w:rsid w:val="00822C7F"/>
    <w:rsid w:val="00823449"/>
    <w:rsid w:val="008613AA"/>
    <w:rsid w:val="00875538"/>
    <w:rsid w:val="008817FC"/>
    <w:rsid w:val="008A57D4"/>
    <w:rsid w:val="008A69E4"/>
    <w:rsid w:val="008B2CDC"/>
    <w:rsid w:val="008B401A"/>
    <w:rsid w:val="008F3FC5"/>
    <w:rsid w:val="008F7C9D"/>
    <w:rsid w:val="00913522"/>
    <w:rsid w:val="0092654F"/>
    <w:rsid w:val="00927394"/>
    <w:rsid w:val="0094143B"/>
    <w:rsid w:val="00957FA1"/>
    <w:rsid w:val="00976018"/>
    <w:rsid w:val="009818D1"/>
    <w:rsid w:val="00990E0B"/>
    <w:rsid w:val="009C46F0"/>
    <w:rsid w:val="009E764D"/>
    <w:rsid w:val="009F0B4D"/>
    <w:rsid w:val="009F2A6C"/>
    <w:rsid w:val="00A03FE9"/>
    <w:rsid w:val="00A16082"/>
    <w:rsid w:val="00A21B34"/>
    <w:rsid w:val="00A21FE6"/>
    <w:rsid w:val="00A361D6"/>
    <w:rsid w:val="00A402F7"/>
    <w:rsid w:val="00A804E5"/>
    <w:rsid w:val="00A83DCA"/>
    <w:rsid w:val="00A924DE"/>
    <w:rsid w:val="00AA122B"/>
    <w:rsid w:val="00AC2F04"/>
    <w:rsid w:val="00AD09CA"/>
    <w:rsid w:val="00AD2684"/>
    <w:rsid w:val="00B10316"/>
    <w:rsid w:val="00B1175F"/>
    <w:rsid w:val="00B21403"/>
    <w:rsid w:val="00B25712"/>
    <w:rsid w:val="00B369EE"/>
    <w:rsid w:val="00B43938"/>
    <w:rsid w:val="00B45F11"/>
    <w:rsid w:val="00B57B8B"/>
    <w:rsid w:val="00B707EE"/>
    <w:rsid w:val="00BA4CCC"/>
    <w:rsid w:val="00BB1927"/>
    <w:rsid w:val="00BC5C52"/>
    <w:rsid w:val="00BD7D30"/>
    <w:rsid w:val="00BE5A08"/>
    <w:rsid w:val="00BF7F45"/>
    <w:rsid w:val="00C332AB"/>
    <w:rsid w:val="00C45999"/>
    <w:rsid w:val="00C664FB"/>
    <w:rsid w:val="00C90EEA"/>
    <w:rsid w:val="00C941B1"/>
    <w:rsid w:val="00CA2364"/>
    <w:rsid w:val="00CC0ADA"/>
    <w:rsid w:val="00CD21FB"/>
    <w:rsid w:val="00D20149"/>
    <w:rsid w:val="00D34B18"/>
    <w:rsid w:val="00D427DC"/>
    <w:rsid w:val="00D4591A"/>
    <w:rsid w:val="00D50E2E"/>
    <w:rsid w:val="00DB29F2"/>
    <w:rsid w:val="00DD4870"/>
    <w:rsid w:val="00DE7947"/>
    <w:rsid w:val="00DF5403"/>
    <w:rsid w:val="00E2078B"/>
    <w:rsid w:val="00E55AD2"/>
    <w:rsid w:val="00E60A9E"/>
    <w:rsid w:val="00ED66F7"/>
    <w:rsid w:val="00EF4610"/>
    <w:rsid w:val="00F16188"/>
    <w:rsid w:val="00F26FF5"/>
    <w:rsid w:val="00F30D9B"/>
    <w:rsid w:val="00F3189D"/>
    <w:rsid w:val="00F5464A"/>
    <w:rsid w:val="00F710F8"/>
    <w:rsid w:val="00FC0F2A"/>
    <w:rsid w:val="00FC3307"/>
    <w:rsid w:val="00FC6144"/>
    <w:rsid w:val="00FF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4">
    <w:name w:val="heading 4"/>
    <w:basedOn w:val="a"/>
    <w:next w:val="a"/>
    <w:link w:val="40"/>
    <w:qFormat/>
    <w:rsid w:val="008B2CDC"/>
    <w:pPr>
      <w:keepNext/>
      <w:jc w:val="both"/>
      <w:outlineLvl w:val="3"/>
    </w:pPr>
    <w:rPr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2CDC"/>
    <w:rPr>
      <w:rFonts w:ascii="Times New Roman" w:eastAsia="Times New Roman" w:hAnsi="Times New Roman" w:cs="Times New Roman"/>
      <w:sz w:val="24"/>
      <w:szCs w:val="20"/>
      <w:lang w:val="ro-RO"/>
    </w:rPr>
  </w:style>
  <w:style w:type="table" w:styleId="a3">
    <w:name w:val="Table Grid"/>
    <w:basedOn w:val="a1"/>
    <w:rsid w:val="008B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B2CDC"/>
    <w:pPr>
      <w:jc w:val="both"/>
    </w:pPr>
    <w:rPr>
      <w:szCs w:val="20"/>
      <w:lang w:val="ro-RO"/>
    </w:rPr>
  </w:style>
  <w:style w:type="character" w:customStyle="1" w:styleId="a5">
    <w:name w:val="Основной текст Знак"/>
    <w:basedOn w:val="a0"/>
    <w:link w:val="a4"/>
    <w:rsid w:val="008B2CDC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7428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Aurelia</cp:lastModifiedBy>
  <cp:revision>1</cp:revision>
  <dcterms:created xsi:type="dcterms:W3CDTF">2014-10-09T11:59:00Z</dcterms:created>
  <dcterms:modified xsi:type="dcterms:W3CDTF">2014-10-09T12:01:00Z</dcterms:modified>
</cp:coreProperties>
</file>