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094255" w14:textId="6F49630F" w:rsidR="008C64B4" w:rsidRPr="008C64B4" w:rsidRDefault="008C64B4" w:rsidP="008C64B4">
      <w:pPr>
        <w:rPr>
          <w:b/>
          <w:bCs/>
        </w:rPr>
      </w:pPr>
      <w:r w:rsidRPr="008C64B4">
        <w:rPr>
          <w:b/>
          <w:bCs/>
        </w:rPr>
        <w:t>Speech 1: Poland – The Industrial &amp; Consumer Powerhouse</w:t>
      </w:r>
      <w:r>
        <w:rPr>
          <w:b/>
          <w:bCs/>
        </w:rPr>
        <w:t xml:space="preserve">          </w:t>
      </w:r>
      <w:r w:rsidRPr="008C64B4">
        <w:t>525 words</w:t>
      </w:r>
    </w:p>
    <w:p w14:paraId="04429990" w14:textId="77777777" w:rsidR="008C64B4" w:rsidRPr="008C64B4" w:rsidRDefault="008C64B4" w:rsidP="008C64B4">
      <w:r w:rsidRPr="008C64B4">
        <w:rPr>
          <w:b/>
          <w:bCs/>
        </w:rPr>
        <w:t>Core Topics:</w:t>
      </w:r>
      <w:r w:rsidRPr="008C64B4">
        <w:t xml:space="preserve"> Post-industrial growth, manufacturing output, trade surplus, coal dependency, labor dynamics.</w:t>
      </w:r>
    </w:p>
    <w:p w14:paraId="0A09E542" w14:textId="77777777" w:rsidR="008C64B4" w:rsidRPr="008C64B4" w:rsidRDefault="008C64B4" w:rsidP="008C64B4">
      <w:pPr>
        <w:jc w:val="both"/>
      </w:pPr>
      <w:r w:rsidRPr="008C64B4">
        <w:t xml:space="preserve">Ladies and gentlemen, distinguished colleagues, today I would like to present a detailed economic overview of Poland, a country that has established itself over the past two decades as one of the most resilient and dynamic market economies in Central Europe. Despite significant regional economic turbulence, Poland’s Gross Domestic Product surpassed 3.9 trillion Polish </w:t>
      </w:r>
      <w:proofErr w:type="spellStart"/>
      <w:r w:rsidRPr="008C64B4">
        <w:t>złoty</w:t>
      </w:r>
      <w:proofErr w:type="spellEnd"/>
      <w:r w:rsidRPr="008C64B4">
        <w:t xml:space="preserve">, with an annual growth rate stabilizing around 3.6%. Today, Polish GDP per capita in Purchasing Power Standards stands at approximately 81% of the European Union average, demonstrating a remarkable multi-decade convergence story. </w:t>
      </w:r>
    </w:p>
    <w:p w14:paraId="38ACD471" w14:textId="77777777" w:rsidR="008C64B4" w:rsidRPr="008C64B4" w:rsidRDefault="008C64B4" w:rsidP="008C64B4">
      <w:pPr>
        <w:jc w:val="both"/>
      </w:pPr>
      <w:r w:rsidRPr="008C64B4">
        <w:t xml:space="preserve">The foundational assets of the Polish economy rest upon three main pillars: a highly educated and skilled workforce, a strategic geographical location serving as a bridge between Western and Eastern Europe, and a highly diversified manufacturing base. Unlike economies heavily reliant on a single dominant sector, Poland produces a broad range of industrial goods. In terms of international trade, the country consistently maintains a healthy trade balance, recording annual exports close to 1.95 trillion </w:t>
      </w:r>
      <w:proofErr w:type="spellStart"/>
      <w:r w:rsidRPr="008C64B4">
        <w:t>złoty</w:t>
      </w:r>
      <w:proofErr w:type="spellEnd"/>
      <w:r w:rsidRPr="008C64B4">
        <w:t xml:space="preserve"> against imports of approximately 1.84 trillion </w:t>
      </w:r>
      <w:proofErr w:type="spellStart"/>
      <w:r w:rsidRPr="008C64B4">
        <w:t>złoty</w:t>
      </w:r>
      <w:proofErr w:type="spellEnd"/>
      <w:r w:rsidRPr="008C64B4">
        <w:t>.</w:t>
      </w:r>
    </w:p>
    <w:p w14:paraId="595EC71E" w14:textId="77777777" w:rsidR="008C64B4" w:rsidRPr="008C64B4" w:rsidRDefault="008C64B4" w:rsidP="008C64B4">
      <w:pPr>
        <w:jc w:val="both"/>
      </w:pPr>
      <w:r w:rsidRPr="008C64B4">
        <w:t>Poland’s primary export goods include automotive components, industrial machinery, electronic equipment, furniture, and processed food products. On the other side of the trade balance, the nation's key imports primarily comprise capital equipment, raw materials, chemical products, and high-tech electronics required for its domestic industrial facilities. Domestic private consumption continues to act as a crucial engine for overall economic expansion, reinforced by robust real wage growth and a low national unemployment rate floating below 5%.</w:t>
      </w:r>
    </w:p>
    <w:p w14:paraId="2409C276" w14:textId="77777777" w:rsidR="008C64B4" w:rsidRPr="008C64B4" w:rsidRDefault="008C64B4" w:rsidP="008C64B4">
      <w:pPr>
        <w:jc w:val="both"/>
      </w:pPr>
      <w:r w:rsidRPr="008C64B4">
        <w:t xml:space="preserve">However, maintaining this economic momentum presents critical challenges. The most urgent structural hurdle is the national energy matrix. Historically dependent on domestic fossil fuels, Poland extracted the largest volume of coal in the European Union in recent years. While renewable sources like onshore wind and photovoltaics have grown rapidly—now accounting for around 29% of national electricity generation—coal still supplies over 50% of the country's power needs. Decarbonizing this energy sector while preserving industrial competitiveness requires an estimated investment of over 250 billion US dollars through 2030. </w:t>
      </w:r>
    </w:p>
    <w:p w14:paraId="2575E64F" w14:textId="77777777" w:rsidR="008C64B4" w:rsidRPr="008C64B4" w:rsidRDefault="008C64B4" w:rsidP="008C64B4">
      <w:pPr>
        <w:jc w:val="both"/>
      </w:pPr>
      <w:r w:rsidRPr="008C64B4">
        <w:t>Furthermore, demographic shifts pose a secondary long-term risk. An aging population is beginning to constrain the national labor supply, pushing corporations to increase automation and rely more heavily on foreign labor integration. To sustain long-term growth, the Polish government must direct public and private funding toward digital infrastructure, renewable energy grid integration, and advanced industrial innovation. Thank you.</w:t>
      </w:r>
    </w:p>
    <w:p w14:paraId="1E665A5A" w14:textId="77777777" w:rsidR="008C64B4" w:rsidRDefault="008C64B4" w:rsidP="008C64B4">
      <w:pPr>
        <w:rPr>
          <w:b/>
          <w:bCs/>
        </w:rPr>
      </w:pPr>
    </w:p>
    <w:p w14:paraId="6D5CEE72" w14:textId="77777777" w:rsidR="008C64B4" w:rsidRDefault="008C64B4" w:rsidP="008C64B4">
      <w:pPr>
        <w:rPr>
          <w:b/>
          <w:bCs/>
        </w:rPr>
      </w:pPr>
    </w:p>
    <w:p w14:paraId="2B48896D" w14:textId="55C62708" w:rsidR="008C64B4" w:rsidRPr="008C64B4" w:rsidRDefault="008C64B4" w:rsidP="008C64B4">
      <w:pPr>
        <w:rPr>
          <w:b/>
          <w:bCs/>
        </w:rPr>
      </w:pPr>
      <w:r w:rsidRPr="008C64B4">
        <w:rPr>
          <w:b/>
          <w:bCs/>
        </w:rPr>
        <w:lastRenderedPageBreak/>
        <w:t>Speech 2: Spain – Tourism, Green Energy, and Structural Obstacles</w:t>
      </w:r>
      <w:r>
        <w:rPr>
          <w:b/>
          <w:bCs/>
        </w:rPr>
        <w:t xml:space="preserve">         </w:t>
      </w:r>
      <w:r w:rsidRPr="008C64B4">
        <w:t xml:space="preserve"> ~520 words</w:t>
      </w:r>
    </w:p>
    <w:p w14:paraId="18CCF44A" w14:textId="77777777" w:rsidR="008C64B4" w:rsidRPr="008C64B4" w:rsidRDefault="008C64B4" w:rsidP="008C64B4">
      <w:r w:rsidRPr="008C64B4">
        <w:rPr>
          <w:b/>
          <w:bCs/>
        </w:rPr>
        <w:t>Core Topics:</w:t>
      </w:r>
      <w:r w:rsidRPr="008C64B4">
        <w:t xml:space="preserve"> Service sector reliance, agricultural leadership, renewable power generation, youth unemployment, public debt.</w:t>
      </w:r>
    </w:p>
    <w:p w14:paraId="09C47E9F" w14:textId="77777777" w:rsidR="008C64B4" w:rsidRPr="008C64B4" w:rsidRDefault="008C64B4" w:rsidP="008C64B4">
      <w:pPr>
        <w:jc w:val="both"/>
      </w:pPr>
      <w:r w:rsidRPr="008C64B4">
        <w:t>Good morning, ladies and gentlemen. Today, I want to present a comprehensive analysis of the modern Spanish economy. As the fourth-largest economy within the Eurozone, Spain plays a pivotal role in Southern Europe’s financial and industrial ecosystem. Following a period of significant macroeconomic rebalancing, the country has maintained steady economic performance, driven by a powerful service sector, expanding trade links, and substantial structural investments supported by European recovery funds.</w:t>
      </w:r>
    </w:p>
    <w:p w14:paraId="523A5507" w14:textId="77777777" w:rsidR="008C64B4" w:rsidRPr="008C64B4" w:rsidRDefault="008C64B4" w:rsidP="008C64B4">
      <w:pPr>
        <w:jc w:val="both"/>
      </w:pPr>
      <w:r w:rsidRPr="008C64B4">
        <w:t>Spain’s primary economic assets center on its world-leading tourism and hospitality framework, modern transportation networks, and a rapidly expanding clean energy infrastructure. In recent years, Spain has transformed into a European leader in renewable power generation. Solar and wind installations now regularly generate over 50% of the nation's daily electricity demand, drastically reducing traditional reliance on foreign energy markets.</w:t>
      </w:r>
    </w:p>
    <w:p w14:paraId="22DCE162" w14:textId="77777777" w:rsidR="008C64B4" w:rsidRPr="008C64B4" w:rsidRDefault="008C64B4" w:rsidP="008C64B4">
      <w:pPr>
        <w:jc w:val="both"/>
      </w:pPr>
      <w:r w:rsidRPr="008C64B4">
        <w:t>Looking at international commerce, Spain’s export profile is robust and varied. The country is a major global exporter of passenger vehicles, pharmaceutical items, refined chemical goods, and high-value agricultural commodities, including olive oil, wine, citrus fruits, and fresh produce. Conversely, Spain’s import structure consists predominantly of fossil fuels—such as crude oil and natural gas—alongside industrial machinery, electronic components, and advanced medical equipment.</w:t>
      </w:r>
    </w:p>
    <w:p w14:paraId="0EBF3F67" w14:textId="77777777" w:rsidR="008C64B4" w:rsidRPr="008C64B4" w:rsidRDefault="008C64B4" w:rsidP="008C64B4">
      <w:pPr>
        <w:jc w:val="both"/>
      </w:pPr>
      <w:r w:rsidRPr="008C64B4">
        <w:t>Despite these key strengths, Spain continues to struggle with structural vulnerabilities that hamper its full economic potential. The most persistent economic challenge is the labor market, specifically the youth unemployment rate. Although the general unemployment rate has declined from historic highs, youth unemployment remains high at nearly 26%, more than double the European Union average. This high rate of youth joblessness creates social challenges and limits long-term domestic consumer demand.</w:t>
      </w:r>
    </w:p>
    <w:p w14:paraId="59EFFAE1" w14:textId="77777777" w:rsidR="008C64B4" w:rsidRPr="008C64B4" w:rsidRDefault="008C64B4" w:rsidP="008C64B4">
      <w:pPr>
        <w:jc w:val="both"/>
      </w:pPr>
      <w:r w:rsidRPr="008C64B4">
        <w:t xml:space="preserve">In addition to labor market friction, public debt remains a central macroeconomic concern. While the national debt-to-GDP ratio has successfully fallen from post-pandemic peaks down to roughly 101.8%, it remains well above the Eurozone average of 87%. This elevated debt burden restricts fiscal flexibility and limits the government's ability to respond to future external economic shocks. </w:t>
      </w:r>
    </w:p>
    <w:p w14:paraId="667866DF" w14:textId="77777777" w:rsidR="008C64B4" w:rsidRPr="008C64B4" w:rsidRDefault="008C64B4" w:rsidP="008C64B4">
      <w:pPr>
        <w:jc w:val="both"/>
      </w:pPr>
      <w:r w:rsidRPr="008C64B4">
        <w:t>Moving forward, Spain’s long-term prosperity depends on modernizing its small and medium-sized enterprises through digital adoption, reforming its vocational training systems to address youth unemployment, and expanding its green energy grid to achieve complete energy independence. Thank you for your attention.</w:t>
      </w:r>
    </w:p>
    <w:p w14:paraId="43CCD0A4" w14:textId="77777777" w:rsidR="008C64B4" w:rsidRDefault="008C64B4" w:rsidP="008C64B4">
      <w:pPr>
        <w:rPr>
          <w:b/>
          <w:bCs/>
        </w:rPr>
      </w:pPr>
    </w:p>
    <w:p w14:paraId="287EF552" w14:textId="77777777" w:rsidR="008C64B4" w:rsidRDefault="008C64B4" w:rsidP="008C64B4">
      <w:pPr>
        <w:rPr>
          <w:b/>
          <w:bCs/>
        </w:rPr>
      </w:pPr>
    </w:p>
    <w:p w14:paraId="4F653344" w14:textId="2C9E0BDF" w:rsidR="008C64B4" w:rsidRPr="008C64B4" w:rsidRDefault="008C64B4" w:rsidP="008C64B4">
      <w:pPr>
        <w:rPr>
          <w:b/>
          <w:bCs/>
        </w:rPr>
      </w:pPr>
      <w:r w:rsidRPr="008C64B4">
        <w:rPr>
          <w:b/>
          <w:bCs/>
        </w:rPr>
        <w:lastRenderedPageBreak/>
        <w:t>Speech 3: The Netherlands – The Logistic &amp; Agri-Tech Hub</w:t>
      </w:r>
      <w:r>
        <w:rPr>
          <w:b/>
          <w:bCs/>
        </w:rPr>
        <w:t xml:space="preserve">     </w:t>
      </w:r>
      <w:r w:rsidRPr="008C64B4">
        <w:t>~515 words</w:t>
      </w:r>
    </w:p>
    <w:p w14:paraId="786C9669" w14:textId="77777777" w:rsidR="008C64B4" w:rsidRPr="008C64B4" w:rsidRDefault="008C64B4" w:rsidP="008C64B4">
      <w:r w:rsidRPr="008C64B4">
        <w:rPr>
          <w:b/>
          <w:bCs/>
        </w:rPr>
        <w:t>Core Topics:</w:t>
      </w:r>
      <w:r w:rsidRPr="008C64B4">
        <w:t xml:space="preserve"> Logistics infrastructure, Port of Rotterdam throughput, </w:t>
      </w:r>
      <w:proofErr w:type="spellStart"/>
      <w:r w:rsidRPr="008C64B4">
        <w:t>agri</w:t>
      </w:r>
      <w:proofErr w:type="spellEnd"/>
      <w:r w:rsidRPr="008C64B4">
        <w:t>-tech innovation, nitrogen emission limits, housing deficits.</w:t>
      </w:r>
    </w:p>
    <w:p w14:paraId="78D32AC2" w14:textId="6097C000" w:rsidR="008C64B4" w:rsidRPr="008C64B4" w:rsidRDefault="008C64B4" w:rsidP="008C64B4">
      <w:pPr>
        <w:jc w:val="both"/>
      </w:pPr>
      <w:r w:rsidRPr="008C64B4">
        <w:t xml:space="preserve">Good afternoon, colleagues. Today, I will present </w:t>
      </w:r>
      <w:r>
        <w:t>the</w:t>
      </w:r>
      <w:r w:rsidRPr="008C64B4">
        <w:t xml:space="preserve"> economic profile of the Kingdom of the Netherlands, an advanced, highly open economy that serves as one of Europe’s primary commercial engines. Despite its compact geographical size, the Netherlands consistently ranks among the top global trading nations, relying on exceptional infrastructure, financial services, and high-tech industrial innovation.</w:t>
      </w:r>
    </w:p>
    <w:p w14:paraId="581C54FA" w14:textId="77777777" w:rsidR="008C64B4" w:rsidRPr="008C64B4" w:rsidRDefault="008C64B4" w:rsidP="008C64B4">
      <w:pPr>
        <w:jc w:val="both"/>
      </w:pPr>
      <w:r w:rsidRPr="008C64B4">
        <w:t xml:space="preserve">The central asset of the Dutch economy is its unparalleled status as the principal logistical gateway to the European continent. At the core of this system is the Port of Rotterdam—the largest seaport in Europe—which handles more than 435 million metric tons of cargo annually. Supported by an intricate network of deep-water canals, high-speed rail corridors, and modern motorways, Dutch logistics networks effectively facilitate the flow of goods across the entire European Single Market. </w:t>
      </w:r>
    </w:p>
    <w:p w14:paraId="51F4E871" w14:textId="77777777" w:rsidR="008C64B4" w:rsidRPr="008C64B4" w:rsidRDefault="008C64B4" w:rsidP="008C64B4">
      <w:pPr>
        <w:jc w:val="both"/>
      </w:pPr>
      <w:r w:rsidRPr="008C64B4">
        <w:t xml:space="preserve">Another key economic driver is the country's </w:t>
      </w:r>
      <w:proofErr w:type="spellStart"/>
      <w:r w:rsidRPr="008C64B4">
        <w:t>agri</w:t>
      </w:r>
      <w:proofErr w:type="spellEnd"/>
      <w:r w:rsidRPr="008C64B4">
        <w:t>-tech sector. Through automated greenhouses, precision farming, and sustainable technological development, the Netherlands has become the world’s second-largest exporter of agricultural products by value, right after the United States. Key exports include cut flowers, dairy products, advanced food-processing machinery, and semiconductor manufacturing equipment. On the import side, the Netherlands imports massive quantities of crude petroleum, industrial minerals, raw agricultural products, and consumer electronics, much of which is processed or immediately re-exported to neighboring nations.</w:t>
      </w:r>
    </w:p>
    <w:p w14:paraId="3B8606ED" w14:textId="77777777" w:rsidR="008C64B4" w:rsidRPr="008C64B4" w:rsidRDefault="008C64B4" w:rsidP="008C64B4">
      <w:pPr>
        <w:jc w:val="both"/>
      </w:pPr>
      <w:r w:rsidRPr="008C64B4">
        <w:t>However, this high degree of economic density and international openness creates severe structural constraints. Chief among these is the national environmental crisis regarding nitrogen emissions. To meet strict European climate regulations, the Dutch government has been forced to mandate reductions in livestock numbers and temporarily stall major construction projects. This regulatory environment directly impacts both the agricultural sector and domestic industrial development.</w:t>
      </w:r>
    </w:p>
    <w:p w14:paraId="1FC47DB4" w14:textId="77777777" w:rsidR="008C64B4" w:rsidRPr="008C64B4" w:rsidRDefault="008C64B4" w:rsidP="008C64B4">
      <w:pPr>
        <w:jc w:val="both"/>
      </w:pPr>
      <w:r w:rsidRPr="008C64B4">
        <w:t>Furthermore, the nation faces a severe structural housing shortage, with an estimated deficit exceeding 400,000 residential units. High housing costs, combined with elevated labor expenses, threaten to limit corporate expansion and diminish national competitiveness. To secure sustainable economic growth in the decades ahead, the Netherlands must successfully transition toward a circular economy, resolve its environmental regulatory standoffs, and invest continuously in cutting-edge technological research. Thank you.</w:t>
      </w:r>
    </w:p>
    <w:p w14:paraId="6B74AD0D" w14:textId="77777777" w:rsidR="00F73263" w:rsidRDefault="00F73263" w:rsidP="008C64B4">
      <w:pPr>
        <w:jc w:val="both"/>
      </w:pPr>
    </w:p>
    <w:sectPr w:rsidR="00F73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4B4"/>
    <w:rsid w:val="00656787"/>
    <w:rsid w:val="00895B1D"/>
    <w:rsid w:val="008C64B4"/>
    <w:rsid w:val="00AC3E3D"/>
    <w:rsid w:val="00F73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CC8F"/>
  <w15:chartTrackingRefBased/>
  <w15:docId w15:val="{3655078E-E923-4598-BFD8-3B55F3A2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4B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C64B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C64B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C64B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C64B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C6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4B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C64B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C64B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C64B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C64B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C6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4B4"/>
    <w:rPr>
      <w:rFonts w:eastAsiaTheme="majorEastAsia" w:cstheme="majorBidi"/>
      <w:color w:val="272727" w:themeColor="text1" w:themeTint="D8"/>
    </w:rPr>
  </w:style>
  <w:style w:type="paragraph" w:styleId="Title">
    <w:name w:val="Title"/>
    <w:basedOn w:val="Normal"/>
    <w:next w:val="Normal"/>
    <w:link w:val="TitleChar"/>
    <w:uiPriority w:val="10"/>
    <w:qFormat/>
    <w:rsid w:val="008C6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4B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4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64B4"/>
    <w:rPr>
      <w:i/>
      <w:iCs/>
      <w:color w:val="404040" w:themeColor="text1" w:themeTint="BF"/>
    </w:rPr>
  </w:style>
  <w:style w:type="paragraph" w:styleId="ListParagraph">
    <w:name w:val="List Paragraph"/>
    <w:basedOn w:val="Normal"/>
    <w:uiPriority w:val="34"/>
    <w:qFormat/>
    <w:rsid w:val="008C64B4"/>
    <w:pPr>
      <w:ind w:left="720"/>
      <w:contextualSpacing/>
    </w:pPr>
  </w:style>
  <w:style w:type="character" w:styleId="IntenseEmphasis">
    <w:name w:val="Intense Emphasis"/>
    <w:basedOn w:val="DefaultParagraphFont"/>
    <w:uiPriority w:val="21"/>
    <w:qFormat/>
    <w:rsid w:val="008C64B4"/>
    <w:rPr>
      <w:i/>
      <w:iCs/>
      <w:color w:val="365F91" w:themeColor="accent1" w:themeShade="BF"/>
    </w:rPr>
  </w:style>
  <w:style w:type="paragraph" w:styleId="IntenseQuote">
    <w:name w:val="Intense Quote"/>
    <w:basedOn w:val="Normal"/>
    <w:next w:val="Normal"/>
    <w:link w:val="IntenseQuoteChar"/>
    <w:uiPriority w:val="30"/>
    <w:qFormat/>
    <w:rsid w:val="008C64B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C64B4"/>
    <w:rPr>
      <w:i/>
      <w:iCs/>
      <w:color w:val="365F91" w:themeColor="accent1" w:themeShade="BF"/>
    </w:rPr>
  </w:style>
  <w:style w:type="character" w:styleId="IntenseReference">
    <w:name w:val="Intense Reference"/>
    <w:basedOn w:val="DefaultParagraphFont"/>
    <w:uiPriority w:val="32"/>
    <w:qFormat/>
    <w:rsid w:val="008C64B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655138">
      <w:bodyDiv w:val="1"/>
      <w:marLeft w:val="0"/>
      <w:marRight w:val="0"/>
      <w:marTop w:val="0"/>
      <w:marBottom w:val="0"/>
      <w:divBdr>
        <w:top w:val="none" w:sz="0" w:space="0" w:color="auto"/>
        <w:left w:val="none" w:sz="0" w:space="0" w:color="auto"/>
        <w:bottom w:val="none" w:sz="0" w:space="0" w:color="auto"/>
        <w:right w:val="none" w:sz="0" w:space="0" w:color="auto"/>
      </w:divBdr>
      <w:divsChild>
        <w:div w:id="101384743">
          <w:blockQuote w:val="1"/>
          <w:marLeft w:val="720"/>
          <w:marRight w:val="720"/>
          <w:marTop w:val="0"/>
          <w:marBottom w:val="100"/>
          <w:divBdr>
            <w:top w:val="none" w:sz="0" w:space="0" w:color="auto"/>
            <w:left w:val="none" w:sz="0" w:space="0" w:color="auto"/>
            <w:bottom w:val="none" w:sz="0" w:space="0" w:color="auto"/>
            <w:right w:val="none" w:sz="0" w:space="0" w:color="auto"/>
          </w:divBdr>
        </w:div>
        <w:div w:id="437680849">
          <w:blockQuote w:val="1"/>
          <w:marLeft w:val="720"/>
          <w:marRight w:val="720"/>
          <w:marTop w:val="0"/>
          <w:marBottom w:val="100"/>
          <w:divBdr>
            <w:top w:val="none" w:sz="0" w:space="0" w:color="auto"/>
            <w:left w:val="none" w:sz="0" w:space="0" w:color="auto"/>
            <w:bottom w:val="none" w:sz="0" w:space="0" w:color="auto"/>
            <w:right w:val="none" w:sz="0" w:space="0" w:color="auto"/>
          </w:divBdr>
        </w:div>
        <w:div w:id="1631473873">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617177517">
      <w:bodyDiv w:val="1"/>
      <w:marLeft w:val="0"/>
      <w:marRight w:val="0"/>
      <w:marTop w:val="0"/>
      <w:marBottom w:val="0"/>
      <w:divBdr>
        <w:top w:val="none" w:sz="0" w:space="0" w:color="auto"/>
        <w:left w:val="none" w:sz="0" w:space="0" w:color="auto"/>
        <w:bottom w:val="none" w:sz="0" w:space="0" w:color="auto"/>
        <w:right w:val="none" w:sz="0" w:space="0" w:color="auto"/>
      </w:divBdr>
      <w:divsChild>
        <w:div w:id="1634555884">
          <w:blockQuote w:val="1"/>
          <w:marLeft w:val="720"/>
          <w:marRight w:val="720"/>
          <w:marTop w:val="0"/>
          <w:marBottom w:val="100"/>
          <w:divBdr>
            <w:top w:val="none" w:sz="0" w:space="0" w:color="auto"/>
            <w:left w:val="none" w:sz="0" w:space="0" w:color="auto"/>
            <w:bottom w:val="none" w:sz="0" w:space="0" w:color="auto"/>
            <w:right w:val="none" w:sz="0" w:space="0" w:color="auto"/>
          </w:divBdr>
        </w:div>
        <w:div w:id="709570835">
          <w:blockQuote w:val="1"/>
          <w:marLeft w:val="720"/>
          <w:marRight w:val="720"/>
          <w:marTop w:val="0"/>
          <w:marBottom w:val="100"/>
          <w:divBdr>
            <w:top w:val="none" w:sz="0" w:space="0" w:color="auto"/>
            <w:left w:val="none" w:sz="0" w:space="0" w:color="auto"/>
            <w:bottom w:val="none" w:sz="0" w:space="0" w:color="auto"/>
            <w:right w:val="none" w:sz="0" w:space="0" w:color="auto"/>
          </w:divBdr>
        </w:div>
        <w:div w:id="946891374">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 Caragia</dc:creator>
  <cp:keywords/>
  <dc:description/>
  <cp:lastModifiedBy>Rodica Caragia</cp:lastModifiedBy>
  <cp:revision>1</cp:revision>
  <dcterms:created xsi:type="dcterms:W3CDTF">2026-09-08T06:27:00Z</dcterms:created>
  <dcterms:modified xsi:type="dcterms:W3CDTF">2026-09-08T07:23:00Z</dcterms:modified>
</cp:coreProperties>
</file>