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86" w:rsidRDefault="00091786" w:rsidP="00091786">
      <w:bookmarkStart w:id="0" w:name="_GoBack"/>
      <w:bookmarkEnd w:id="0"/>
    </w:p>
    <w:p w:rsidR="00091786" w:rsidRDefault="00091786" w:rsidP="00091786"/>
    <w:tbl>
      <w:tblPr>
        <w:tblStyle w:val="-640"/>
        <w:tblW w:w="14737" w:type="dxa"/>
        <w:tblLayout w:type="fixed"/>
        <w:tblLook w:val="04A0" w:firstRow="1" w:lastRow="0" w:firstColumn="1" w:lastColumn="0" w:noHBand="0" w:noVBand="1"/>
      </w:tblPr>
      <w:tblGrid>
        <w:gridCol w:w="581"/>
        <w:gridCol w:w="1541"/>
        <w:gridCol w:w="1559"/>
        <w:gridCol w:w="850"/>
        <w:gridCol w:w="1701"/>
        <w:gridCol w:w="6237"/>
        <w:gridCol w:w="2268"/>
      </w:tblGrid>
      <w:tr w:rsidR="00F5316E" w:rsidTr="00F53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091786" w:rsidRPr="00F5316E" w:rsidRDefault="00091786" w:rsidP="00091786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</w:p>
        </w:tc>
        <w:tc>
          <w:tcPr>
            <w:tcW w:w="1541" w:type="dxa"/>
          </w:tcPr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Domeniu</w:t>
            </w:r>
          </w:p>
        </w:tc>
        <w:tc>
          <w:tcPr>
            <w:tcW w:w="1559" w:type="dxa"/>
          </w:tcPr>
          <w:p w:rsidR="00F5316E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Data/</w:t>
            </w:r>
          </w:p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Cauza</w:t>
            </w:r>
          </w:p>
        </w:tc>
        <w:tc>
          <w:tcPr>
            <w:tcW w:w="850" w:type="dxa"/>
          </w:tcPr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Pg.</w:t>
            </w:r>
          </w:p>
        </w:tc>
        <w:tc>
          <w:tcPr>
            <w:tcW w:w="1701" w:type="dxa"/>
          </w:tcPr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Cuvinte-cheie</w:t>
            </w:r>
          </w:p>
        </w:tc>
        <w:tc>
          <w:tcPr>
            <w:tcW w:w="6237" w:type="dxa"/>
          </w:tcPr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Extras din hotărâre</w:t>
            </w:r>
          </w:p>
        </w:tc>
        <w:tc>
          <w:tcPr>
            <w:tcW w:w="2268" w:type="dxa"/>
          </w:tcPr>
          <w:p w:rsidR="00091786" w:rsidRPr="00F5316E" w:rsidRDefault="00091786" w:rsidP="00091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</w:pPr>
            <w:r w:rsidRPr="00F5316E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  <w:lang w:val="ro-RO"/>
              </w:rPr>
              <w:t>Apreciere</w:t>
            </w:r>
          </w:p>
        </w:tc>
      </w:tr>
      <w:tr w:rsidR="00F5316E" w:rsidRPr="00084183" w:rsidTr="0008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</w:t>
            </w:r>
          </w:p>
        </w:tc>
        <w:tc>
          <w:tcPr>
            <w:tcW w:w="154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pe criterii de gen</w:t>
            </w:r>
          </w:p>
        </w:tc>
        <w:tc>
          <w:tcPr>
            <w:tcW w:w="1559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2020, Eremia și alții c. Moldova</w:t>
            </w:r>
          </w:p>
        </w:tc>
        <w:tc>
          <w:tcPr>
            <w:tcW w:w="850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25</w:t>
            </w:r>
          </w:p>
        </w:tc>
        <w:tc>
          <w:tcPr>
            <w:tcW w:w="170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Violență domestică, protecție insuficientă a victimelor femei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condamnat pentru lipsa măsurilor eficiente de protecție a unei mame și a fiicelor sale împotriva violenței domestice.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Cazul a implicat aplicarea Articolului 3 (interzicerea torturii) și Articolului 14 (interzicerea discriminării) din CEDO, subliniind obligația statului de a preveni și sancționa violența domestică.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nu a luat măsuri adecvate pentru a proteja reclamanta și fiicele sale de comportamentul violent al soțului, care era polițist. Plângerile au fost ignorate sau soluționate superficial, iar autoritățile au arătat toleranță față de actele de violență.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subliniat necesitatea introducerii unor măsuri eficiente de protecție împotriva violenței domestice, în special pentru victimele vulnerabile, și a atras atenția asupra responsabilității statelor de a combate discriminarea de gen în aplicarea legii.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19.000 euro (material și moral).</w:t>
            </w:r>
          </w:p>
        </w:tc>
      </w:tr>
      <w:tr w:rsidR="00F5316E" w:rsidRPr="00084183" w:rsidTr="00084183">
        <w:trPr>
          <w:trHeight w:val="4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2</w:t>
            </w:r>
          </w:p>
        </w:tc>
        <w:tc>
          <w:tcPr>
            <w:tcW w:w="1541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în sănătate</w:t>
            </w:r>
          </w:p>
        </w:tc>
        <w:tc>
          <w:tcPr>
            <w:tcW w:w="1559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2020, Andone și alții c. Moldova</w:t>
            </w:r>
          </w:p>
        </w:tc>
        <w:tc>
          <w:tcPr>
            <w:tcW w:w="850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27</w:t>
            </w:r>
          </w:p>
        </w:tc>
        <w:tc>
          <w:tcPr>
            <w:tcW w:w="1701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Condiții de detenție, discriminare privind accesul la îngrijiri medicale</w:t>
            </w:r>
          </w:p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237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fost discriminați pe baza stării de sănătate; detenția lor a încălcat Art. 14 și 3.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încălcări ale Articolelor 3 (interzicerea tratamentului inuman) și 14 (interzicerea discriminării), evidențiind condițiile precare de detenție și lipsa accesului la îngrijiri medicale.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constatat că reclamanții, persoane cu afecțiuni grave de sănătate, nu au beneficiat de tratamente adecvate în timpul detenției, ceea ce a agravat suferința lor și a demonstrat o discriminare pe baza stării de sănătate.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impus statelor membre să asigure condiții umane de detenție și acces egal la servicii medicale, fără discriminare.</w:t>
            </w:r>
          </w:p>
          <w:p w:rsidR="00084183" w:rsidRPr="00084183" w:rsidRDefault="00084183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Daune morale: 12.000 euro/reclamant.</w:t>
            </w:r>
          </w:p>
        </w:tc>
      </w:tr>
      <w:tr w:rsidR="00F5316E" w:rsidRPr="00084183" w:rsidTr="0008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3</w:t>
            </w:r>
          </w:p>
        </w:tc>
        <w:tc>
          <w:tcPr>
            <w:tcW w:w="154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etnică</w:t>
            </w:r>
          </w:p>
        </w:tc>
        <w:tc>
          <w:tcPr>
            <w:tcW w:w="1559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2022, Mihailov c. Moldova</w:t>
            </w:r>
          </w:p>
        </w:tc>
        <w:tc>
          <w:tcPr>
            <w:tcW w:w="850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33</w:t>
            </w:r>
          </w:p>
        </w:tc>
        <w:tc>
          <w:tcPr>
            <w:tcW w:w="170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Libertatea religioasă, refuz de înregistrare a unor organizații religioase</w:t>
            </w:r>
          </w:p>
        </w:tc>
        <w:tc>
          <w:tcPr>
            <w:tcW w:w="6237" w:type="dxa"/>
          </w:tcPr>
          <w:p w:rsidR="00084183" w:rsidRPr="00084183" w:rsidRDefault="00F5316E" w:rsidP="00084183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color w:val="000000"/>
                <w:sz w:val="28"/>
                <w:szCs w:val="28"/>
                <w:lang w:val="ro-RO"/>
              </w:rPr>
              <w:t>Încălcarea dreptului la nediscriminare religioasă prin refuzul funcționării unor organizații minoritare.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t>Cazul a invocat Articolul 9 (libertatea religioasă) și Articolul 14, referitor la refuzul înregistrării unor organizații religioase minoritare.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t>Curtea a stabilit că statul a încălcat drepturile reclamantului prin respingerea arbitrară a cererilor de înregistrare a unor organizații religioase minoritare, sub pretextul incompatibilității cu valorile tradiționale.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t xml:space="preserve">Decizia a consolidat protecția libertății </w:t>
            </w:r>
            <w:r w:rsidR="00084183" w:rsidRPr="00084183">
              <w:rPr>
                <w:color w:val="000000"/>
                <w:sz w:val="28"/>
                <w:szCs w:val="28"/>
                <w:lang w:val="ro-RO"/>
              </w:rPr>
              <w:lastRenderedPageBreak/>
              <w:t>religioase în fața discriminării și a trasat limite stricte în aplicarea restricțiilor administrative asupra grupurilor minoritare.</w:t>
            </w:r>
          </w:p>
        </w:tc>
        <w:tc>
          <w:tcPr>
            <w:tcW w:w="2268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Încălcare. 10.000 euro daune morale.</w:t>
            </w:r>
          </w:p>
        </w:tc>
      </w:tr>
      <w:tr w:rsidR="00F5316E" w:rsidRPr="00084183" w:rsidTr="00084183">
        <w:trPr>
          <w:trHeight w:val="4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4</w:t>
            </w:r>
          </w:p>
        </w:tc>
        <w:tc>
          <w:tcPr>
            <w:tcW w:w="1541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de gen</w:t>
            </w:r>
          </w:p>
        </w:tc>
        <w:tc>
          <w:tcPr>
            <w:tcW w:w="1559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2022, Novacovschi c. Moldova</w:t>
            </w:r>
          </w:p>
        </w:tc>
        <w:tc>
          <w:tcPr>
            <w:tcW w:w="850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35</w:t>
            </w:r>
          </w:p>
        </w:tc>
        <w:tc>
          <w:tcPr>
            <w:tcW w:w="1701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Concediere ilegală, maternitate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pe baza sarcinii în sistemul public de muncă; încălcarea Art. 14 și 8.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S-a discutat aplicarea Articolului 14 și Articolului 8 (dreptul la respectarea vieții private și de familie) în cazul unei concedieri legate de sarcină.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decizia de concediere a fost discriminatorie și a avut drept motiv sarcina reclamantei, ceea ce reprezintă o încălcare clară a drepturilor omului.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întărit protecția femeilor însărcinate împotriva discriminării pe piața muncii și a determinat ajustări legislative în mai multe state membre.</w:t>
            </w:r>
          </w:p>
          <w:p w:rsidR="00084183" w:rsidRPr="00084183" w:rsidRDefault="00084183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18.000 euro (moral și material)..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5</w:t>
            </w:r>
          </w:p>
        </w:tc>
        <w:tc>
          <w:tcPr>
            <w:tcW w:w="154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LGBTQ+</w:t>
            </w:r>
          </w:p>
        </w:tc>
        <w:tc>
          <w:tcPr>
            <w:tcW w:w="1559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Pustovoyt c. Moldova</w:t>
            </w:r>
          </w:p>
        </w:tc>
        <w:tc>
          <w:tcPr>
            <w:tcW w:w="850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37</w:t>
            </w:r>
          </w:p>
        </w:tc>
        <w:tc>
          <w:tcPr>
            <w:tcW w:w="1701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Protecția persoanelor LGBTQ+, tratament inegal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găsit vinovat de inegalități în aplicarea legilor privind drepturile persoanelor LGBTQ+.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Cazul a invocat Articolele 8 (dreptul la respectarea vieții private) și 14 (interzicerea discriminării), evidențiind inegalități în aplicarea legislației privind drepturile persoanelor LGBTQ+.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Curtea a constatat că statul nu a reușit să protejeze persoanele LGBTQ+ de discriminare în diferite domenii, inclusiv în accesul 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la justiție și aplicarea legilor împotriva infracțiunilor motivate de ură.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subliniat obligația statelor de a combate discriminarea împotriva persoanelor LGBTQ+ și a atras atenția asupra protecției egale pentru toți cetățenii.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F5316E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Î</w:t>
            </w:r>
            <w:r w:rsidR="00F5316E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ncălcare. 25.000 euro.</w:t>
            </w:r>
          </w:p>
        </w:tc>
      </w:tr>
      <w:tr w:rsidR="00F5316E" w:rsidRPr="00084183" w:rsidTr="00084183">
        <w:trPr>
          <w:trHeight w:val="4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Dizabilități</w:t>
            </w:r>
          </w:p>
        </w:tc>
        <w:tc>
          <w:tcPr>
            <w:tcW w:w="1559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Ursu și alții c. Moldova</w:t>
            </w:r>
          </w:p>
        </w:tc>
        <w:tc>
          <w:tcPr>
            <w:tcW w:w="850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40</w:t>
            </w:r>
          </w:p>
        </w:tc>
        <w:tc>
          <w:tcPr>
            <w:tcW w:w="170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Acces la infrastructuri publice</w:t>
            </w:r>
          </w:p>
        </w:tc>
        <w:tc>
          <w:tcPr>
            <w:tcW w:w="6237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Persoanele cu dizabilități au fost discriminate sistemic prin lipsa accesibilității în infrastructuri publice.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Plângerea s-a bazat pe Articolul 14, în legătură cu accesibilitatea publică pentru persoanele cu dizabilități.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concluzionat că lipsa infrastructurilor accesibile a reprezentat o discriminare sistemică împotriva persoanelor cu dizabilități, încălcând drepturile lor de participare egală în societate.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dus la inițiative legislative în țările membre pentru a îmbunătăți infrastructura publică și a elimina barierele pentru persoanele cu dizabilități.</w:t>
            </w:r>
          </w:p>
          <w:p w:rsidR="00084183" w:rsidRPr="00084183" w:rsidRDefault="00084183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14.000 euro.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7</w:t>
            </w:r>
          </w:p>
        </w:tc>
        <w:tc>
          <w:tcPr>
            <w:tcW w:w="1541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pe criterii de sănătate</w:t>
            </w:r>
          </w:p>
        </w:tc>
        <w:tc>
          <w:tcPr>
            <w:tcW w:w="1559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2020, I.G. c. Moldova</w:t>
            </w:r>
          </w:p>
        </w:tc>
        <w:tc>
          <w:tcPr>
            <w:tcW w:w="850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28</w:t>
            </w:r>
          </w:p>
        </w:tc>
        <w:tc>
          <w:tcPr>
            <w:tcW w:w="1701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nvestigație defectuoasă, tratament inuman</w:t>
            </w:r>
          </w:p>
        </w:tc>
        <w:tc>
          <w:tcPr>
            <w:tcW w:w="6237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condamnat pentru discriminare în procesarea cazurilor de infracțiuni sexuale împotriva tinerelor.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Articolele 3 și 14, referindu-se la tratamentele discriminatorii în investigațiile legate de infracțiuni sexuale.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condamnat pentru lipsa unei investigații eficiente și pentru tratamente discriminatorii față de victimele infracțiunilor sexuale, în special femei tinere.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avut un impact semnificativ în standardizarea investigațiilor penale pentru a evita discriminarea pe criterii de gen.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Încălcare. 15.000 euro.</w:t>
            </w:r>
          </w:p>
        </w:tc>
      </w:tr>
      <w:tr w:rsidR="00F5316E" w:rsidRPr="00084183" w:rsidTr="00084183">
        <w:trPr>
          <w:trHeight w:val="4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8</w:t>
            </w:r>
          </w:p>
        </w:tc>
        <w:tc>
          <w:tcPr>
            <w:tcW w:w="154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Discriminesocială</w:t>
            </w:r>
          </w:p>
        </w:tc>
        <w:tc>
          <w:tcPr>
            <w:tcW w:w="1559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2021, Balan v. Moldova</w:t>
            </w:r>
          </w:p>
        </w:tc>
        <w:tc>
          <w:tcPr>
            <w:tcW w:w="850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28</w:t>
            </w:r>
          </w:p>
        </w:tc>
        <w:tc>
          <w:tcPr>
            <w:tcW w:w="170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Beneficii sociale, inegalitate</w:t>
            </w:r>
          </w:p>
        </w:tc>
        <w:tc>
          <w:tcPr>
            <w:tcW w:w="6237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Tratamente inechitabile privind alocarea beneficiilor sociale, încălcând dreptul la egalitate.</w:t>
            </w:r>
          </w:p>
          <w:p w:rsidR="00084183" w:rsidRPr="00084183" w:rsidRDefault="00084183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S-a invocat Articolul 1 din Protocolul 1 (protecția proprietății) și Articolul 14, referitor la tratamente inechitabile privind beneficiile sociale.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a aplicat criterii discriminatorii în alocarea beneficiilor sociale, creând un tratament preferențial nejustificat.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determinat revizuirea criteriilor de acordare a ajutoarelor sociale în Republica Moldova.</w:t>
            </w:r>
          </w:p>
        </w:tc>
        <w:tc>
          <w:tcPr>
            <w:tcW w:w="2268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9.000 euro.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9</w:t>
            </w:r>
          </w:p>
        </w:tc>
        <w:tc>
          <w:tcPr>
            <w:tcW w:w="1541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Jurisdicție militară</w:t>
            </w:r>
          </w:p>
        </w:tc>
        <w:tc>
          <w:tcPr>
            <w:tcW w:w="1559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Ilaşcu și alții c. Moldova</w:t>
            </w:r>
          </w:p>
        </w:tc>
        <w:tc>
          <w:tcPr>
            <w:tcW w:w="850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39-40</w:t>
            </w:r>
          </w:p>
        </w:tc>
        <w:tc>
          <w:tcPr>
            <w:tcW w:w="1701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Tratament inuman, jurisdicție teritorială</w:t>
            </w:r>
          </w:p>
        </w:tc>
        <w:tc>
          <w:tcPr>
            <w:tcW w:w="6237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bazată pe lipsa de autoritate efectivă într-un teritoriu ocupat, combinată cu violențe.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Articolele 3 și 5 (dreptul la libertate), legat de tratamentul inuman și jurisdicția militară într-un teritoriu disputat.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găsit vinovat de inacțiune față de tratamentele inumane aplicate în Transnistria, unde nu avea control efectiv, dar trebuia să depună eforturi pentru a-și proteja cetățenii.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întărit principiul responsabilității statale pentru protecția drepturilor omului chiar și în regiuni cu autoritate limitată.</w:t>
            </w: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084183" w:rsidRPr="00084183" w:rsidRDefault="00084183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F5316E" w:rsidRPr="00084183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Daune morale și materiale: 150.000 euro.</w:t>
            </w:r>
          </w:p>
        </w:tc>
      </w:tr>
      <w:tr w:rsidR="00F5316E" w:rsidRPr="00084183" w:rsidTr="00084183">
        <w:trPr>
          <w:trHeight w:val="4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10</w:t>
            </w:r>
          </w:p>
        </w:tc>
        <w:tc>
          <w:tcPr>
            <w:tcW w:w="154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pe criterii de sănătate</w:t>
            </w:r>
          </w:p>
        </w:tc>
        <w:tc>
          <w:tcPr>
            <w:tcW w:w="1559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2020, Popov c. Moldova</w:t>
            </w:r>
          </w:p>
        </w:tc>
        <w:tc>
          <w:tcPr>
            <w:tcW w:w="850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24</w:t>
            </w:r>
          </w:p>
        </w:tc>
        <w:tc>
          <w:tcPr>
            <w:tcW w:w="1701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Refuz tratament medical echitabil</w:t>
            </w:r>
          </w:p>
        </w:tc>
        <w:tc>
          <w:tcPr>
            <w:tcW w:w="6237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fost discriminați prin refuzul de a li se acorda tratamente medicale adecvate în instituțiile publice.</w:t>
            </w:r>
          </w:p>
          <w:p w:rsidR="00084183" w:rsidRPr="00084183" w:rsidRDefault="00084183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Articolele 3 și 14, referindu-se la refuzul tratamentului medical echitabil.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a discriminat pacienții prin refuzul accesului la tratamente medicale corespunzătoare, încălcând astfel standardele de protecție a drepturilor omului.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dus la revizuirea politicilor de sănătate publică pentru a preveni discriminarea în accesul la îngrijiri.</w:t>
            </w:r>
          </w:p>
        </w:tc>
        <w:tc>
          <w:tcPr>
            <w:tcW w:w="2268" w:type="dxa"/>
            <w:vAlign w:val="center"/>
          </w:tcPr>
          <w:p w:rsidR="00F5316E" w:rsidRPr="00084183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15.000 euro (material și moral).</w:t>
            </w:r>
          </w:p>
        </w:tc>
      </w:tr>
      <w:tr w:rsidR="00F5316E" w:rsidRPr="00084183" w:rsidTr="0008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091786" w:rsidRPr="008A44D9" w:rsidRDefault="00091786" w:rsidP="00091786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11</w:t>
            </w:r>
          </w:p>
        </w:tc>
        <w:tc>
          <w:tcPr>
            <w:tcW w:w="1541" w:type="dxa"/>
          </w:tcPr>
          <w:p w:rsidR="00091786" w:rsidRPr="008A44D9" w:rsidRDefault="00F5316E" w:rsidP="00091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în educație</w:t>
            </w:r>
          </w:p>
        </w:tc>
        <w:tc>
          <w:tcPr>
            <w:tcW w:w="1559" w:type="dxa"/>
          </w:tcPr>
          <w:p w:rsidR="00091786" w:rsidRPr="008A44D9" w:rsidRDefault="00F5316E" w:rsidP="00091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2020, Muntean c. Moldova</w:t>
            </w:r>
          </w:p>
        </w:tc>
        <w:tc>
          <w:tcPr>
            <w:tcW w:w="850" w:type="dxa"/>
          </w:tcPr>
          <w:p w:rsidR="00091786" w:rsidRPr="008A44D9" w:rsidRDefault="00F5316E" w:rsidP="00091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23</w:t>
            </w:r>
          </w:p>
        </w:tc>
        <w:tc>
          <w:tcPr>
            <w:tcW w:w="1701" w:type="dxa"/>
          </w:tcPr>
          <w:p w:rsidR="00091786" w:rsidRPr="008A44D9" w:rsidRDefault="00F5316E" w:rsidP="00091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Acces inegal la educație pentru minoritățile etnice</w:t>
            </w:r>
          </w:p>
        </w:tc>
        <w:tc>
          <w:tcPr>
            <w:tcW w:w="6237" w:type="dxa"/>
          </w:tcPr>
          <w:p w:rsidR="00091786" w:rsidRPr="00084183" w:rsidRDefault="00F5316E" w:rsidP="000917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încălcat dreptul la educație egală, tratând inegal elevii din grupuri etnice minoritare în școlile publice.</w:t>
            </w:r>
          </w:p>
          <w:p w:rsidR="00084183" w:rsidRPr="008A44D9" w:rsidRDefault="00084183" w:rsidP="000917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Articolul 2 din Protocolul 1 (dreptul la educație) și Articolul 14, legat de accesul inegal la educație pentru minorități etnice.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nu a asigurat condiții egale pentru elevii din grupuri minoritare, încălcând dreptul lor fundamental la educație.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consolidat standardele privind accesul egal la educație pentru minoritățile etnice.</w:t>
            </w:r>
          </w:p>
        </w:tc>
        <w:tc>
          <w:tcPr>
            <w:tcW w:w="2268" w:type="dxa"/>
          </w:tcPr>
          <w:p w:rsidR="00091786" w:rsidRPr="008A44D9" w:rsidRDefault="00F5316E" w:rsidP="00091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10.000 euro.</w:t>
            </w:r>
          </w:p>
        </w:tc>
      </w:tr>
      <w:tr w:rsidR="00F5316E" w:rsidRPr="00084183" w:rsidTr="00084183">
        <w:trPr>
          <w:trHeight w:val="4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12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pe criterii de gen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2021, Ionescu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26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Salarizare inegală, discriminare de gen</w:t>
            </w:r>
          </w:p>
        </w:tc>
        <w:tc>
          <w:tcPr>
            <w:tcW w:w="6237" w:type="dxa"/>
          </w:tcPr>
          <w:p w:rsidR="00F5316E" w:rsidRPr="008A44D9" w:rsidRDefault="00084183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Plângerea a invocat Articolele 14 (interzicerea discriminării) și 1 din Protocolul 1 (dreptul la proprietate), referitor la salarizarea inegală pe criterii de gen.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constatat că femeile din sectorul public erau plătite mai puțin decât bărbații pentru muncă egală ca valoare, ceea ce constituie o discriminare clară.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determinat autoritățile moldovene să implementeze politici pentru egalizarea salariilor între genuri.</w:t>
            </w: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12.000 euro.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13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Drepturi ale minorităților etnice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2021, Moraru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28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Lipsa protecției drepturilor minorităților etnice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condamnat pentru nerespectarea drepturilor lingvistice și culturale ale minorității bulgare în Moldova.</w:t>
            </w:r>
          </w:p>
          <w:p w:rsidR="00084183" w:rsidRPr="00084183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Cazul a vizat încălcarea drepturilor culturale și lingvistice prevăzute de Articolele 14 și 9 (libertatea religioasă și culturală).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fost condamnat pentru nerespectarea drepturilor minorității bulgare în ceea ce privește utilizarea limbii materne și protejarea tradițiilor culturale.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impulsionat adoptarea unor măsuri legislative care să asigure protecția minorităților culturale și lingvistice.</w:t>
            </w:r>
          </w:p>
          <w:p w:rsidR="00084183" w:rsidRPr="008A44D9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8.000 euro.</w:t>
            </w:r>
          </w:p>
        </w:tc>
      </w:tr>
      <w:tr w:rsidR="00F5316E" w:rsidRPr="00084183" w:rsidTr="00F5316E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14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în domeniul muncii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2022, Gălăceanu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3</w:t>
            </w: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1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Concediere discriminatorie, protecția locului de muncă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 a drepturilor unui angajat care a fost concediat în mod discriminatoriu pe baza etniei.</w:t>
            </w:r>
          </w:p>
          <w:p w:rsidR="00084183" w:rsidRPr="008A44D9" w:rsidRDefault="00084183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Articolele 14 și 8, referindu-se la o concediere discriminatorie pe baza etniei.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decizia de concediere a fost motivată exclusiv de apartenența etnică a reclamantului, fără justificare obiectivă.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subliniat necesitatea unor mecanisme clare pentru prevenirea discriminării în domeniul muncii.</w:t>
            </w: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14.000 euro (moral și material).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15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pe baza dizabilității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2022, Olaru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50-51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Accesibilitate publică, discriminare persoanelor cu dizabilități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fost discriminați în accesul la infrastructuri publice din cauza lipsei de facilități pentru persoanele cu dizabilități.</w:t>
            </w:r>
          </w:p>
          <w:p w:rsidR="00084183" w:rsidRPr="00084183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S-a discutat aplicarea Articolului 14 și a Articolului 8, referitor la accesibilitatea publică pentru persoanele cu dizabilități.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concluzionat că statul nu a asigurat măsuri adecvate pentru a elimina barierele fizice în infrastructura publică, discriminând astfel persoanele cu dizabilități.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generat presiuni pentru îmbunătățirea infrastructurii publice, astfel încât să fie incluzivă pentru toți cetățenii.</w:t>
            </w:r>
          </w:p>
          <w:p w:rsidR="00084183" w:rsidRPr="008A44D9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20.000 euro.</w:t>
            </w:r>
          </w:p>
        </w:tc>
      </w:tr>
      <w:tr w:rsidR="00F5316E" w:rsidRPr="00084183" w:rsidTr="00F5316E">
        <w:trPr>
          <w:trHeight w:val="2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16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pe baza orientării sexuale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Savin c. Moldova</w:t>
            </w: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 xml:space="preserve"> </w:t>
            </w: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Marii Britanii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36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Drepturi LGBTQ+, violarea protecției împotriva discriminări</w:t>
            </w:r>
          </w:p>
        </w:tc>
        <w:tc>
          <w:tcPr>
            <w:tcW w:w="6237" w:type="dxa"/>
          </w:tcPr>
          <w:p w:rsidR="00F5316E" w:rsidRPr="008A44D9" w:rsidRDefault="00F5316E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CEDO a decis că statul nu a protejat persoanele LGBTQ+ de discriminarea în domeniul locuinței și al accesului la servicii publice.</w:t>
            </w: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 xml:space="preserve"> </w:t>
            </w: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aplicate reclamantului nu aveau o justificare suficientă în scopuri democratice, constituind o încălcare a Art. 14 coroborat cu Art. 10 (libertatea de exprimare).</w:t>
            </w: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10.000 euro.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17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Drepturi ale copiilor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Popescu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38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Discriminae în educație, protecția copiilor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Copiii din comunități vulnerabile, în special cei din familii defavorizate, au fost discriminați în accesul la educație, iar statul nu a adoptat măsuri adecvate pentru protecția acestora.</w:t>
            </w:r>
          </w:p>
          <w:p w:rsidR="00084183" w:rsidRPr="00084183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Reclamanții au invocat Articolul 2 din Protocolul 1 și Articolul 14, referindu-se la discriminarea copiilor din familii defavorizate în accesul la educație.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constatat că statul nu a implementat măsuri suficiente pentru a garanta accesul egal la educație pentru copiii vulnerabili.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stimulat programe educaționale și sociale menite să sprijine incluziunea copiilor din grupuri defavorizate.</w:t>
            </w:r>
          </w:p>
          <w:p w:rsidR="00084183" w:rsidRPr="00084183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084183" w:rsidRPr="008A44D9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18.000 euro.</w:t>
            </w:r>
          </w:p>
        </w:tc>
      </w:tr>
      <w:tr w:rsidR="00F5316E" w:rsidRPr="00084183" w:rsidTr="00F5316E">
        <w:trPr>
          <w:trHeight w:val="2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>18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în domeniul locuinței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Toma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39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Discriminae pe criterii sociale și etnice în locuințe</w:t>
            </w:r>
          </w:p>
        </w:tc>
        <w:tc>
          <w:tcPr>
            <w:tcW w:w="6237" w:type="dxa"/>
          </w:tcPr>
          <w:p w:rsidR="00084183" w:rsidRPr="00084183" w:rsidRDefault="00F5316E" w:rsidP="000841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Statul a încălcat dreptul la locuință pentru o persoană dintr-o comunitate etnică minoritară prin condiții de locuință inadecvate.</w:t>
            </w:r>
          </w:p>
          <w:p w:rsidR="00084183" w:rsidRPr="00084183" w:rsidRDefault="00084183" w:rsidP="000841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Plângerea a fost legată de Articolul 8 și Articolul 14, privind condițiile inadecvate de locuire pentru o persoană dintr-o comunitate minoritară.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Statul a fost condamnat pentru lipsa de intervenție în remedierea condițiilor de 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locuință discriminatorii pentru persoanele din comunități etnice vulnerabile.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subliniat importanța accesului echitabil la condiții adecvate de locuință, în special pentru grupurile minoritare.</w:t>
            </w:r>
          </w:p>
          <w:p w:rsidR="00084183" w:rsidRPr="008A44D9" w:rsidRDefault="00084183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Încălcare. 10.000 euro.</w:t>
            </w:r>
          </w:p>
        </w:tc>
      </w:tr>
      <w:tr w:rsidR="00F5316E" w:rsidRPr="00084183" w:rsidTr="00F53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t xml:space="preserve"> 19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pe criterii religioase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2024, Vasile c. Moldova</w:t>
            </w: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46-47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Libertatea religioasă, discriminare în înregistrara organizațiilr religioase</w:t>
            </w:r>
          </w:p>
        </w:tc>
        <w:tc>
          <w:tcPr>
            <w:tcW w:w="6237" w:type="dxa"/>
          </w:tcPr>
          <w:p w:rsidR="00F5316E" w:rsidRPr="00084183" w:rsidRDefault="00F5316E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Discriminare religioasă în cazul refuzului autorităților de a înregistra o organizație religioasă minoritară.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Cazul a invocat Articolul 9 și Articolul 14, legat de refuzul înregistrării unei organizații religioase minoritare.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constatat că autoritățile au refuzat în mod discriminatoriu să înregistreze o organizație religioasă minoritară, fără justificare rezonabilă.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Hotărârea a consolidat protecția libertății religioase și a deschis calea către eliminarea obstacolelor administrative pentru grupurile minoritare.</w:t>
            </w:r>
          </w:p>
          <w:p w:rsidR="00084183" w:rsidRPr="008A44D9" w:rsidRDefault="00084183" w:rsidP="00F531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12.000 euro.</w:t>
            </w:r>
          </w:p>
        </w:tc>
      </w:tr>
      <w:tr w:rsidR="00F5316E" w:rsidRPr="00084183" w:rsidTr="00F5316E">
        <w:trPr>
          <w:trHeight w:val="3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F5316E" w:rsidRPr="008A44D9" w:rsidRDefault="00F5316E" w:rsidP="00F5316E">
            <w:pPr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</w:pPr>
            <w:r w:rsidRPr="008A44D9">
              <w:rPr>
                <w:rFonts w:ascii="Times New Roman" w:eastAsia="Times New Roman" w:hAnsi="Times New Roman" w:cs="Times New Roman"/>
                <w:color w:val="806000" w:themeColor="accent4" w:themeShade="80"/>
                <w:kern w:val="0"/>
                <w:sz w:val="32"/>
                <w:szCs w:val="32"/>
                <w:lang w:val="ro-RO" w:eastAsia="ru-RU"/>
                <w14:ligatures w14:val="none"/>
              </w:rPr>
              <w:lastRenderedPageBreak/>
              <w:t>20</w:t>
            </w:r>
          </w:p>
        </w:tc>
        <w:tc>
          <w:tcPr>
            <w:tcW w:w="154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Discrimine pe baza sănătății</w:t>
            </w:r>
          </w:p>
        </w:tc>
        <w:tc>
          <w:tcPr>
            <w:tcW w:w="1559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2023, Tomescu c. Moldova</w:t>
            </w:r>
          </w:p>
        </w:tc>
        <w:tc>
          <w:tcPr>
            <w:tcW w:w="850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33</w:t>
            </w:r>
          </w:p>
        </w:tc>
        <w:tc>
          <w:tcPr>
            <w:tcW w:w="1701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Acces la tratamente, discriminare în tratamentele medicale</w:t>
            </w:r>
          </w:p>
        </w:tc>
        <w:tc>
          <w:tcPr>
            <w:tcW w:w="6237" w:type="dxa"/>
          </w:tcPr>
          <w:p w:rsidR="00F5316E" w:rsidRPr="008A44D9" w:rsidRDefault="00F5316E" w:rsidP="00F531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moldovean a discriminat un pacient cu o boală rară, deoarece autoritățile nu i-au acordat tratamentele necesare, pe baza unui criteriu de sănătate nejustificat.</w:t>
            </w: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).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Context juridic: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Plângerea a invocat Articolul 3 și Articolul 14, referindu-se la discriminarea pacientului în accesul la tratamente pentru o boală rară.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Motivele deciziei: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Curtea a stabilit că statul nu a asigurat tratamentele necesare pentru reclamant, aplicând criterii nejustificate de sănătate.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br/>
            </w:r>
            <w:r w:rsidR="00084183" w:rsidRPr="0008418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Impact:</w:t>
            </w:r>
            <w:r w:rsidR="00084183" w:rsidRPr="0008418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</w:t>
            </w:r>
            <w:r w:rsidR="00084183"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Decizia a impulsionat reformele în domeniul sănătății pentru a elimina discriminarea în alocarea resurselor medicale.</w:t>
            </w:r>
          </w:p>
        </w:tc>
        <w:tc>
          <w:tcPr>
            <w:tcW w:w="2268" w:type="dxa"/>
          </w:tcPr>
          <w:p w:rsidR="00F5316E" w:rsidRPr="008A44D9" w:rsidRDefault="00F5316E" w:rsidP="00F53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</w:pPr>
            <w:r w:rsidRPr="00084183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Încălcare. 8.000 euro (moral și material).</w:t>
            </w:r>
            <w:r w:rsidRPr="008A44D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o-RO" w:eastAsia="ru-RU"/>
                <w14:ligatures w14:val="none"/>
              </w:rPr>
              <w:t>.</w:t>
            </w:r>
          </w:p>
        </w:tc>
      </w:tr>
    </w:tbl>
    <w:p w:rsidR="00091786" w:rsidRPr="00084183" w:rsidRDefault="00091786" w:rsidP="00091786">
      <w:pPr>
        <w:rPr>
          <w:lang w:val="ro-RO"/>
        </w:rPr>
      </w:pPr>
    </w:p>
    <w:sectPr w:rsidR="00091786" w:rsidRPr="00084183" w:rsidSect="00F5316E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B8" w:rsidRDefault="00D961B8" w:rsidP="00084183">
      <w:r>
        <w:separator/>
      </w:r>
    </w:p>
  </w:endnote>
  <w:endnote w:type="continuationSeparator" w:id="0">
    <w:p w:rsidR="00D961B8" w:rsidRDefault="00D961B8" w:rsidP="0008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183" w:rsidRPr="00084183" w:rsidRDefault="00084183">
    <w:pPr>
      <w:pStyle w:val="a8"/>
      <w:rPr>
        <w:rFonts w:ascii="Times New Roman" w:hAnsi="Times New Roman" w:cs="Times New Roman"/>
        <w:i/>
        <w:iCs/>
        <w:lang w:val="ro-RO"/>
      </w:rPr>
    </w:pPr>
    <w:r w:rsidRPr="00084183">
      <w:rPr>
        <w:rFonts w:ascii="Times New Roman" w:hAnsi="Times New Roman" w:cs="Times New Roman"/>
        <w:i/>
        <w:iCs/>
        <w:lang w:val="ro-RO"/>
      </w:rPr>
      <w:t xml:space="preserve">Dolma Alexandrina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B8" w:rsidRDefault="00D961B8" w:rsidP="00084183">
      <w:r>
        <w:separator/>
      </w:r>
    </w:p>
  </w:footnote>
  <w:footnote w:type="continuationSeparator" w:id="0">
    <w:p w:rsidR="00D961B8" w:rsidRDefault="00D961B8" w:rsidP="0008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86"/>
    <w:rsid w:val="00084183"/>
    <w:rsid w:val="00091786"/>
    <w:rsid w:val="003578AD"/>
    <w:rsid w:val="006D2826"/>
    <w:rsid w:val="00A3239B"/>
    <w:rsid w:val="00D8551E"/>
    <w:rsid w:val="00D961B8"/>
    <w:rsid w:val="00F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0D8E-FF37-244B-B92F-89186905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4">
    <w:name w:val="Grid Table 3 Accent 4"/>
    <w:basedOn w:val="a1"/>
    <w:uiPriority w:val="48"/>
    <w:rsid w:val="00F5316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44">
    <w:name w:val="Grid Table 4 Accent 4"/>
    <w:basedOn w:val="a1"/>
    <w:uiPriority w:val="49"/>
    <w:rsid w:val="00F5316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1"/>
    <w:uiPriority w:val="49"/>
    <w:rsid w:val="00F5316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6">
    <w:name w:val="Grid Table 5 Dark Accent 6"/>
    <w:basedOn w:val="a1"/>
    <w:uiPriority w:val="50"/>
    <w:rsid w:val="00F531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53">
    <w:name w:val="Grid Table 5 Dark Accent 3"/>
    <w:basedOn w:val="a1"/>
    <w:uiPriority w:val="50"/>
    <w:rsid w:val="00F531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41">
    <w:name w:val="List Table 4 Accent 1"/>
    <w:basedOn w:val="a1"/>
    <w:uiPriority w:val="49"/>
    <w:rsid w:val="00F5316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74">
    <w:name w:val="Grid Table 7 Colorful Accent 4"/>
    <w:basedOn w:val="a1"/>
    <w:uiPriority w:val="52"/>
    <w:rsid w:val="00F5316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24">
    <w:name w:val="Grid Table 2 Accent 4"/>
    <w:basedOn w:val="a1"/>
    <w:uiPriority w:val="47"/>
    <w:rsid w:val="00F5316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4">
    <w:name w:val="List Table 6 Colorful Accent 4"/>
    <w:basedOn w:val="a1"/>
    <w:uiPriority w:val="51"/>
    <w:rsid w:val="00F5316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40">
    <w:name w:val="List Table 4 Accent 4"/>
    <w:basedOn w:val="a1"/>
    <w:uiPriority w:val="49"/>
    <w:rsid w:val="00F5316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4">
    <w:name w:val="Grid Table 1 Light Accent 4"/>
    <w:basedOn w:val="a1"/>
    <w:uiPriority w:val="46"/>
    <w:rsid w:val="00F5316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4">
    <w:name w:val="Grid Table 5 Dark Accent 4"/>
    <w:basedOn w:val="a1"/>
    <w:uiPriority w:val="50"/>
    <w:rsid w:val="00F531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640">
    <w:name w:val="Grid Table 6 Colorful Accent 4"/>
    <w:basedOn w:val="a1"/>
    <w:uiPriority w:val="51"/>
    <w:rsid w:val="00F5316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4">
    <w:name w:val="Strong"/>
    <w:basedOn w:val="a0"/>
    <w:uiPriority w:val="22"/>
    <w:qFormat/>
    <w:rsid w:val="00084183"/>
    <w:rPr>
      <w:b/>
      <w:bCs/>
    </w:rPr>
  </w:style>
  <w:style w:type="character" w:customStyle="1" w:styleId="apple-converted-space">
    <w:name w:val="apple-converted-space"/>
    <w:basedOn w:val="a0"/>
    <w:rsid w:val="00084183"/>
  </w:style>
  <w:style w:type="paragraph" w:styleId="a5">
    <w:name w:val="Normal (Web)"/>
    <w:basedOn w:val="a"/>
    <w:uiPriority w:val="99"/>
    <w:unhideWhenUsed/>
    <w:rsid w:val="000841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0841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183"/>
  </w:style>
  <w:style w:type="paragraph" w:styleId="a8">
    <w:name w:val="footer"/>
    <w:basedOn w:val="a"/>
    <w:link w:val="a9"/>
    <w:uiPriority w:val="99"/>
    <w:unhideWhenUsed/>
    <w:rsid w:val="000841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6BC87E-D675-496A-BAB3-4BA0837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User</cp:lastModifiedBy>
  <cp:revision>3</cp:revision>
  <dcterms:created xsi:type="dcterms:W3CDTF">2024-12-06T23:33:00Z</dcterms:created>
  <dcterms:modified xsi:type="dcterms:W3CDTF">2024-12-06T23:33:00Z</dcterms:modified>
</cp:coreProperties>
</file>