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D25A8" w14:textId="1A27CCAF" w:rsidR="00C909EA" w:rsidRPr="00423439" w:rsidRDefault="00C909EA" w:rsidP="007E0FEB">
      <w:pPr>
        <w:spacing w:before="360" w:after="240"/>
        <w:jc w:val="center"/>
        <w:rPr>
          <w:b/>
          <w:bCs/>
          <w:lang w:val="ro-MD"/>
        </w:rPr>
      </w:pPr>
      <w:bookmarkStart w:id="0" w:name="_GoBack"/>
      <w:bookmarkEnd w:id="0"/>
      <w:r w:rsidRPr="00423439">
        <w:rPr>
          <w:b/>
          <w:bCs/>
          <w:lang w:val="ro-MD"/>
        </w:rPr>
        <w:t>Indice Tabelar</w:t>
      </w:r>
    </w:p>
    <w:tbl>
      <w:tblPr>
        <w:tblStyle w:val="ac"/>
        <w:tblpPr w:leftFromText="180" w:rightFromText="180" w:vertAnchor="text" w:tblpX="-15" w:tblpY="1"/>
        <w:tblOverlap w:val="never"/>
        <w:tblW w:w="16145" w:type="dxa"/>
        <w:tblLayout w:type="fixed"/>
        <w:tblLook w:val="04A0" w:firstRow="1" w:lastRow="0" w:firstColumn="1" w:lastColumn="0" w:noHBand="0" w:noVBand="1"/>
      </w:tblPr>
      <w:tblGrid>
        <w:gridCol w:w="557"/>
        <w:gridCol w:w="1413"/>
        <w:gridCol w:w="992"/>
        <w:gridCol w:w="992"/>
        <w:gridCol w:w="709"/>
        <w:gridCol w:w="1276"/>
        <w:gridCol w:w="6095"/>
        <w:gridCol w:w="4111"/>
      </w:tblGrid>
      <w:tr w:rsidR="004F223B" w:rsidRPr="00423439" w14:paraId="23DB432D" w14:textId="7C555479" w:rsidTr="00C542B4">
        <w:tc>
          <w:tcPr>
            <w:tcW w:w="557" w:type="dxa"/>
            <w:tcBorders>
              <w:top w:val="single" w:sz="12" w:space="0" w:color="auto"/>
              <w:left w:val="single" w:sz="12" w:space="0" w:color="auto"/>
              <w:bottom w:val="single" w:sz="12" w:space="0" w:color="auto"/>
              <w:right w:val="single" w:sz="8" w:space="0" w:color="auto"/>
            </w:tcBorders>
            <w:shd w:val="clear" w:color="auto" w:fill="AEC0EC"/>
          </w:tcPr>
          <w:p w14:paraId="4CA869E3" w14:textId="20E8D888" w:rsidR="004F223B" w:rsidRPr="00423439" w:rsidRDefault="004F223B" w:rsidP="00C542B4">
            <w:pPr>
              <w:spacing w:before="120" w:after="120" w:line="240" w:lineRule="auto"/>
              <w:jc w:val="center"/>
              <w:rPr>
                <w:b/>
                <w:bCs/>
                <w:lang w:val="ro-MD"/>
              </w:rPr>
            </w:pPr>
            <w:r w:rsidRPr="00423439">
              <w:rPr>
                <w:b/>
                <w:bCs/>
                <w:lang w:val="ro-MD"/>
              </w:rPr>
              <w:t>Nr.</w:t>
            </w:r>
          </w:p>
        </w:tc>
        <w:tc>
          <w:tcPr>
            <w:tcW w:w="1413" w:type="dxa"/>
            <w:tcBorders>
              <w:top w:val="single" w:sz="12" w:space="0" w:color="auto"/>
              <w:left w:val="single" w:sz="8" w:space="0" w:color="auto"/>
              <w:bottom w:val="single" w:sz="12" w:space="0" w:color="auto"/>
              <w:right w:val="single" w:sz="8" w:space="0" w:color="auto"/>
            </w:tcBorders>
            <w:shd w:val="clear" w:color="auto" w:fill="AEC0EC"/>
          </w:tcPr>
          <w:p w14:paraId="3227938C" w14:textId="56E6126A" w:rsidR="004F223B" w:rsidRPr="00423439" w:rsidRDefault="004F223B" w:rsidP="00C542B4">
            <w:pPr>
              <w:spacing w:before="120" w:after="120" w:line="240" w:lineRule="auto"/>
              <w:jc w:val="center"/>
              <w:rPr>
                <w:b/>
                <w:bCs/>
                <w:lang w:val="ro-MD"/>
              </w:rPr>
            </w:pPr>
            <w:r w:rsidRPr="00423439">
              <w:rPr>
                <w:b/>
                <w:bCs/>
                <w:lang w:val="ro-MD"/>
              </w:rPr>
              <w:t>Cauza &amp; detalii</w:t>
            </w:r>
          </w:p>
        </w:tc>
        <w:tc>
          <w:tcPr>
            <w:tcW w:w="992" w:type="dxa"/>
            <w:tcBorders>
              <w:top w:val="single" w:sz="12" w:space="0" w:color="auto"/>
              <w:bottom w:val="single" w:sz="12" w:space="0" w:color="auto"/>
              <w:right w:val="single" w:sz="12" w:space="0" w:color="auto"/>
            </w:tcBorders>
            <w:shd w:val="clear" w:color="auto" w:fill="AEC0EC"/>
          </w:tcPr>
          <w:p w14:paraId="00816507" w14:textId="7D1F22F0" w:rsidR="004F223B" w:rsidRPr="00423439" w:rsidRDefault="004F223B" w:rsidP="00C542B4">
            <w:pPr>
              <w:spacing w:before="120" w:after="120" w:line="240" w:lineRule="auto"/>
              <w:jc w:val="center"/>
              <w:rPr>
                <w:b/>
                <w:bCs/>
                <w:lang w:val="ro-MD"/>
              </w:rPr>
            </w:pPr>
            <w:r w:rsidRPr="00423439">
              <w:rPr>
                <w:b/>
                <w:bCs/>
                <w:lang w:val="ro-MD"/>
              </w:rPr>
              <w:t>Tipul hot.</w:t>
            </w:r>
          </w:p>
        </w:tc>
        <w:tc>
          <w:tcPr>
            <w:tcW w:w="992" w:type="dxa"/>
            <w:tcBorders>
              <w:top w:val="single" w:sz="12" w:space="0" w:color="auto"/>
              <w:left w:val="single" w:sz="12" w:space="0" w:color="auto"/>
              <w:bottom w:val="single" w:sz="12" w:space="0" w:color="auto"/>
            </w:tcBorders>
            <w:shd w:val="clear" w:color="auto" w:fill="AEC0EC"/>
          </w:tcPr>
          <w:p w14:paraId="2A3F7100" w14:textId="7191C6B8" w:rsidR="004F223B" w:rsidRPr="00423439" w:rsidRDefault="004F223B" w:rsidP="00C542B4">
            <w:pPr>
              <w:spacing w:before="120" w:after="120" w:line="240" w:lineRule="auto"/>
              <w:jc w:val="center"/>
              <w:rPr>
                <w:b/>
                <w:bCs/>
                <w:lang w:val="ro-MD"/>
              </w:rPr>
            </w:pPr>
            <w:r w:rsidRPr="00423439">
              <w:rPr>
                <w:b/>
                <w:bCs/>
                <w:lang w:val="ro-MD"/>
              </w:rPr>
              <w:t>Art. CEDO</w:t>
            </w:r>
          </w:p>
        </w:tc>
        <w:tc>
          <w:tcPr>
            <w:tcW w:w="709" w:type="dxa"/>
            <w:tcBorders>
              <w:top w:val="single" w:sz="12" w:space="0" w:color="auto"/>
              <w:left w:val="single" w:sz="8" w:space="0" w:color="auto"/>
              <w:bottom w:val="single" w:sz="12" w:space="0" w:color="auto"/>
              <w:right w:val="single" w:sz="8" w:space="0" w:color="auto"/>
            </w:tcBorders>
            <w:shd w:val="clear" w:color="auto" w:fill="AEC0EC"/>
          </w:tcPr>
          <w:p w14:paraId="33542CCA" w14:textId="610D4FF7" w:rsidR="004F223B" w:rsidRPr="00423439" w:rsidRDefault="004F223B" w:rsidP="00C542B4">
            <w:pPr>
              <w:spacing w:before="120" w:after="120" w:line="240" w:lineRule="auto"/>
              <w:jc w:val="center"/>
              <w:rPr>
                <w:b/>
                <w:bCs/>
                <w:lang w:val="ro-MD"/>
              </w:rPr>
            </w:pPr>
            <w:r w:rsidRPr="00423439">
              <w:rPr>
                <w:b/>
                <w:bCs/>
                <w:lang w:val="ro-MD"/>
              </w:rPr>
              <w:t>Pag.</w:t>
            </w:r>
          </w:p>
        </w:tc>
        <w:tc>
          <w:tcPr>
            <w:tcW w:w="1276" w:type="dxa"/>
            <w:tcBorders>
              <w:top w:val="single" w:sz="12" w:space="0" w:color="auto"/>
              <w:left w:val="single" w:sz="8" w:space="0" w:color="auto"/>
              <w:bottom w:val="single" w:sz="12" w:space="0" w:color="auto"/>
              <w:right w:val="single" w:sz="8" w:space="0" w:color="auto"/>
            </w:tcBorders>
            <w:shd w:val="clear" w:color="auto" w:fill="AEC0EC"/>
          </w:tcPr>
          <w:p w14:paraId="4C9DD2C9" w14:textId="418984C3" w:rsidR="004F223B" w:rsidRPr="00423439" w:rsidRDefault="004F223B" w:rsidP="00C542B4">
            <w:pPr>
              <w:spacing w:before="120" w:after="120" w:line="240" w:lineRule="auto"/>
              <w:jc w:val="center"/>
              <w:rPr>
                <w:b/>
                <w:bCs/>
                <w:lang w:val="ro-MD"/>
              </w:rPr>
            </w:pPr>
            <w:r w:rsidRPr="00423439">
              <w:rPr>
                <w:b/>
                <w:bCs/>
                <w:lang w:val="ro-MD"/>
              </w:rPr>
              <w:t>Cuvinte-cheie</w:t>
            </w:r>
          </w:p>
        </w:tc>
        <w:tc>
          <w:tcPr>
            <w:tcW w:w="6095" w:type="dxa"/>
            <w:tcBorders>
              <w:top w:val="single" w:sz="12" w:space="0" w:color="auto"/>
              <w:left w:val="single" w:sz="8" w:space="0" w:color="auto"/>
              <w:bottom w:val="single" w:sz="12" w:space="0" w:color="auto"/>
              <w:right w:val="single" w:sz="8" w:space="0" w:color="auto"/>
            </w:tcBorders>
            <w:shd w:val="clear" w:color="auto" w:fill="AEC0EC"/>
          </w:tcPr>
          <w:p w14:paraId="3F470D6F" w14:textId="63F81556" w:rsidR="004F223B" w:rsidRPr="00423439" w:rsidRDefault="004F223B" w:rsidP="00C542B4">
            <w:pPr>
              <w:spacing w:before="120" w:after="120" w:line="240" w:lineRule="auto"/>
              <w:jc w:val="center"/>
              <w:rPr>
                <w:b/>
                <w:bCs/>
                <w:lang w:val="ro-MD"/>
              </w:rPr>
            </w:pPr>
            <w:r w:rsidRPr="00423439">
              <w:rPr>
                <w:b/>
                <w:bCs/>
                <w:lang w:val="ro-MD"/>
              </w:rPr>
              <w:t>Argumentele Curții</w:t>
            </w:r>
          </w:p>
        </w:tc>
        <w:tc>
          <w:tcPr>
            <w:tcW w:w="4111" w:type="dxa"/>
            <w:tcBorders>
              <w:top w:val="single" w:sz="12" w:space="0" w:color="auto"/>
              <w:left w:val="single" w:sz="8" w:space="0" w:color="auto"/>
              <w:bottom w:val="single" w:sz="12" w:space="0" w:color="auto"/>
              <w:right w:val="single" w:sz="12" w:space="0" w:color="auto"/>
            </w:tcBorders>
            <w:shd w:val="clear" w:color="auto" w:fill="AEC0EC"/>
          </w:tcPr>
          <w:p w14:paraId="70969B84" w14:textId="04B6B637" w:rsidR="004F223B" w:rsidRPr="00423439" w:rsidRDefault="004F223B" w:rsidP="00C542B4">
            <w:pPr>
              <w:spacing w:before="120" w:after="120" w:line="240" w:lineRule="auto"/>
              <w:jc w:val="center"/>
              <w:rPr>
                <w:b/>
                <w:bCs/>
                <w:lang w:val="ro-MD"/>
              </w:rPr>
            </w:pPr>
            <w:r w:rsidRPr="00423439">
              <w:rPr>
                <w:b/>
                <w:bCs/>
                <w:lang w:val="ro-MD"/>
              </w:rPr>
              <w:t>Satisfacția echitabilă</w:t>
            </w:r>
          </w:p>
        </w:tc>
      </w:tr>
      <w:tr w:rsidR="004F223B" w:rsidRPr="00423439" w14:paraId="70B5806E" w14:textId="77777777" w:rsidTr="00C542B4">
        <w:trPr>
          <w:trHeight w:val="2160"/>
        </w:trPr>
        <w:tc>
          <w:tcPr>
            <w:tcW w:w="557" w:type="dxa"/>
            <w:tcBorders>
              <w:top w:val="single" w:sz="12" w:space="0" w:color="auto"/>
              <w:left w:val="single" w:sz="12" w:space="0" w:color="auto"/>
            </w:tcBorders>
          </w:tcPr>
          <w:p w14:paraId="22CE444E" w14:textId="53C2628A" w:rsidR="004F223B" w:rsidRPr="00423439" w:rsidRDefault="004F223B" w:rsidP="00C542B4">
            <w:pPr>
              <w:spacing w:before="120" w:after="120"/>
              <w:jc w:val="center"/>
              <w:rPr>
                <w:b/>
                <w:bCs/>
                <w:lang w:val="ro-MD"/>
              </w:rPr>
            </w:pPr>
            <w:r w:rsidRPr="00423439">
              <w:rPr>
                <w:b/>
                <w:bCs/>
                <w:lang w:val="ro-MD"/>
              </w:rPr>
              <w:t>1)</w:t>
            </w:r>
          </w:p>
        </w:tc>
        <w:tc>
          <w:tcPr>
            <w:tcW w:w="1413" w:type="dxa"/>
            <w:tcBorders>
              <w:top w:val="single" w:sz="12" w:space="0" w:color="auto"/>
            </w:tcBorders>
          </w:tcPr>
          <w:p w14:paraId="67D0625E" w14:textId="77777777" w:rsidR="004F223B" w:rsidRPr="00423439" w:rsidRDefault="00CF24AD" w:rsidP="00C542B4">
            <w:pPr>
              <w:spacing w:before="120" w:after="120"/>
              <w:jc w:val="center"/>
              <w:rPr>
                <w:b/>
                <w:bCs/>
                <w:lang w:val="ro-MD"/>
              </w:rPr>
            </w:pPr>
            <w:r w:rsidRPr="00423439">
              <w:rPr>
                <w:b/>
                <w:bCs/>
                <w:lang w:val="ro-MD"/>
              </w:rPr>
              <w:t>Pentikäinen v. Finlanda</w:t>
            </w:r>
          </w:p>
          <w:p w14:paraId="1B028BD4" w14:textId="77777777" w:rsidR="00CF24AD" w:rsidRPr="00423439" w:rsidRDefault="00CF24AD" w:rsidP="00C542B4">
            <w:pPr>
              <w:spacing w:before="120" w:after="120"/>
              <w:jc w:val="center"/>
              <w:rPr>
                <w:b/>
                <w:bCs/>
                <w:lang w:val="ro-MD"/>
              </w:rPr>
            </w:pPr>
            <w:r w:rsidRPr="00423439">
              <w:rPr>
                <w:b/>
                <w:bCs/>
                <w:lang w:val="ro-MD"/>
              </w:rPr>
              <w:t>(</w:t>
            </w:r>
            <w:r w:rsidRPr="00423439">
              <w:rPr>
                <w:i/>
                <w:iCs/>
                <w:lang w:val="ro-MD"/>
              </w:rPr>
              <w:t xml:space="preserve">Cererea nr. </w:t>
            </w:r>
            <w:hyperlink r:id="rId8" w:history="1">
              <w:r w:rsidRPr="00423439">
                <w:rPr>
                  <w:rStyle w:val="af4"/>
                  <w:i/>
                  <w:iCs/>
                  <w:lang w:val="ro-MD"/>
                </w:rPr>
                <w:t>11882/10</w:t>
              </w:r>
            </w:hyperlink>
            <w:r w:rsidRPr="00423439">
              <w:rPr>
                <w:b/>
                <w:bCs/>
                <w:lang w:val="ro-MD"/>
              </w:rPr>
              <w:t>)</w:t>
            </w:r>
          </w:p>
          <w:p w14:paraId="5E1F3243" w14:textId="3CE98460" w:rsidR="00CF24AD" w:rsidRPr="00423439" w:rsidRDefault="00734DB1" w:rsidP="00C542B4">
            <w:pPr>
              <w:spacing w:before="120" w:after="120"/>
              <w:jc w:val="center"/>
              <w:rPr>
                <w:b/>
                <w:bCs/>
                <w:lang w:val="ro-MD"/>
              </w:rPr>
            </w:pPr>
            <w:r w:rsidRPr="00423439">
              <w:rPr>
                <w:b/>
                <w:bCs/>
                <w:lang w:val="ro-MD"/>
              </w:rPr>
              <w:t>20 octombrie 2015</w:t>
            </w:r>
          </w:p>
        </w:tc>
        <w:tc>
          <w:tcPr>
            <w:tcW w:w="992" w:type="dxa"/>
            <w:tcBorders>
              <w:top w:val="single" w:sz="12" w:space="0" w:color="auto"/>
            </w:tcBorders>
          </w:tcPr>
          <w:p w14:paraId="6DD80A94" w14:textId="533DEC52" w:rsidR="004F223B" w:rsidRPr="00423439" w:rsidRDefault="004F223B" w:rsidP="00C542B4">
            <w:pPr>
              <w:spacing w:before="120" w:after="120"/>
              <w:jc w:val="center"/>
              <w:rPr>
                <w:lang w:val="ro-MD"/>
              </w:rPr>
            </w:pPr>
            <w:r w:rsidRPr="00423439">
              <w:rPr>
                <w:lang w:val="ro-MD"/>
              </w:rPr>
              <w:t>MC</w:t>
            </w:r>
          </w:p>
        </w:tc>
        <w:tc>
          <w:tcPr>
            <w:tcW w:w="992" w:type="dxa"/>
            <w:tcBorders>
              <w:top w:val="single" w:sz="12" w:space="0" w:color="auto"/>
            </w:tcBorders>
          </w:tcPr>
          <w:p w14:paraId="141AD298" w14:textId="0E0269C8" w:rsidR="004F223B" w:rsidRPr="00423439" w:rsidRDefault="00734DB1" w:rsidP="00C542B4">
            <w:pPr>
              <w:spacing w:before="120" w:after="120"/>
              <w:jc w:val="center"/>
              <w:rPr>
                <w:lang w:val="ro-MD"/>
              </w:rPr>
            </w:pPr>
            <w:r w:rsidRPr="00423439">
              <w:rPr>
                <w:lang w:val="ro-MD"/>
              </w:rPr>
              <w:t>10</w:t>
            </w:r>
          </w:p>
        </w:tc>
        <w:tc>
          <w:tcPr>
            <w:tcW w:w="709" w:type="dxa"/>
            <w:tcBorders>
              <w:top w:val="single" w:sz="12" w:space="0" w:color="auto"/>
            </w:tcBorders>
          </w:tcPr>
          <w:p w14:paraId="640DCA63" w14:textId="55651702" w:rsidR="004F223B" w:rsidRPr="00423439" w:rsidRDefault="00734DB1" w:rsidP="00C542B4">
            <w:pPr>
              <w:spacing w:before="120" w:after="120"/>
              <w:jc w:val="center"/>
              <w:rPr>
                <w:lang w:val="ro-MD"/>
              </w:rPr>
            </w:pPr>
            <w:r w:rsidRPr="00423439">
              <w:rPr>
                <w:lang w:val="ro-MD"/>
              </w:rPr>
              <w:t>-</w:t>
            </w:r>
          </w:p>
        </w:tc>
        <w:tc>
          <w:tcPr>
            <w:tcW w:w="1276" w:type="dxa"/>
            <w:tcBorders>
              <w:top w:val="single" w:sz="12" w:space="0" w:color="auto"/>
            </w:tcBorders>
          </w:tcPr>
          <w:p w14:paraId="001A2883" w14:textId="73942734" w:rsidR="004F223B" w:rsidRPr="00423439" w:rsidRDefault="00734DB1" w:rsidP="00C542B4">
            <w:pPr>
              <w:spacing w:before="120" w:after="120"/>
              <w:jc w:val="center"/>
              <w:rPr>
                <w:lang w:val="ro-MD"/>
              </w:rPr>
            </w:pPr>
            <w:r w:rsidRPr="00423439">
              <w:rPr>
                <w:lang w:val="ro-MD"/>
              </w:rPr>
              <w:t xml:space="preserve">Demonstrație, poliție, reținere, libertate de exprimare, fotografii, tulburarea liniștii, proteste, </w:t>
            </w:r>
            <w:r w:rsidR="00423439">
              <w:rPr>
                <w:lang w:val="ro-MD"/>
              </w:rPr>
              <w:t>l</w:t>
            </w:r>
            <w:r w:rsidRPr="00423439">
              <w:rPr>
                <w:lang w:val="ro-MD"/>
              </w:rPr>
              <w:t>ibertatea de exprimar</w:t>
            </w:r>
            <w:r w:rsidR="00423439">
              <w:rPr>
                <w:lang w:val="ro-MD"/>
              </w:rPr>
              <w:t>e, i</w:t>
            </w:r>
            <w:r w:rsidRPr="00423439">
              <w:rPr>
                <w:lang w:val="ro-MD"/>
              </w:rPr>
              <w:t xml:space="preserve">nterferență, </w:t>
            </w:r>
            <w:r w:rsidR="00423439">
              <w:rPr>
                <w:lang w:val="ro-MD"/>
              </w:rPr>
              <w:t>n</w:t>
            </w:r>
            <w:r w:rsidRPr="00423439">
              <w:rPr>
                <w:lang w:val="ro-MD"/>
              </w:rPr>
              <w:t>ecesar într-o societate democratică</w:t>
            </w:r>
            <w:r w:rsidR="00423439">
              <w:rPr>
                <w:lang w:val="ro-MD"/>
              </w:rPr>
              <w:t xml:space="preserve">, </w:t>
            </w:r>
            <w:r w:rsidR="00423439">
              <w:rPr>
                <w:lang w:val="ro-MD"/>
              </w:rPr>
              <w:lastRenderedPageBreak/>
              <w:t>a</w:t>
            </w:r>
            <w:r w:rsidRPr="00423439">
              <w:rPr>
                <w:lang w:val="ro-MD"/>
              </w:rPr>
              <w:t>părarea ordinii</w:t>
            </w:r>
          </w:p>
        </w:tc>
        <w:tc>
          <w:tcPr>
            <w:tcW w:w="6095" w:type="dxa"/>
            <w:tcBorders>
              <w:top w:val="single" w:sz="12" w:space="0" w:color="auto"/>
            </w:tcBorders>
          </w:tcPr>
          <w:p w14:paraId="580A3D1B" w14:textId="4D516A69" w:rsidR="004F223B" w:rsidRPr="00423439" w:rsidRDefault="00734DB1" w:rsidP="00C542B4">
            <w:pPr>
              <w:spacing w:before="120" w:after="120"/>
              <w:jc w:val="center"/>
              <w:rPr>
                <w:lang w:val="ro-MD"/>
              </w:rPr>
            </w:pPr>
            <w:r w:rsidRPr="00423439">
              <w:rPr>
                <w:lang w:val="ro-MD"/>
              </w:rPr>
              <w:lastRenderedPageBreak/>
              <w:t>61. Curtea a considerat că, din moment ce reținerea și condamnarea reclamantului au fost consecința comportamentului său de fotograf de ziar și jurnalist, neascultând de poliție, prezumția era că a existat o ingerință în dreptul său la libertatea de exprimare. Curtea a constatat că părțile au convenit că măsurile contestate aveau un temei în dreptul finlandez, în special în capitolul 16, secțiunea 4, din Codul penal. Prin urmare, ingerința era „prevăzută de lege” și urmărea mai multe scopuri legitime, și anume protejarea siguranței publice, precum și prevenirea ordinii publice și a criminalității.</w:t>
            </w:r>
          </w:p>
          <w:p w14:paraId="4B876152" w14:textId="77777777" w:rsidR="00734DB1" w:rsidRPr="00423439" w:rsidRDefault="00734DB1" w:rsidP="00C542B4">
            <w:pPr>
              <w:spacing w:before="120" w:after="120"/>
              <w:jc w:val="center"/>
              <w:rPr>
                <w:lang w:val="ro-MD"/>
              </w:rPr>
            </w:pPr>
            <w:r w:rsidRPr="00423439">
              <w:rPr>
                <w:lang w:val="ro-MD"/>
              </w:rPr>
              <w:t>[..] Curtea a acordat, de asemenea, importanță faptului că reclamantului nu i s-a aplicat nicio sancțiune, deoarece fapta sa a fost considerată „scuzabilă” de către instanțele naționale. Având în vedere toți factorii, Curtea a considerat că i</w:t>
            </w:r>
            <w:r w:rsidRPr="00423439">
              <w:rPr>
                <w:b/>
                <w:bCs/>
                <w:lang w:val="ro-MD"/>
              </w:rPr>
              <w:t>nstanțele naționale au găsit un echilibru just între interesele concurente aflate în joc</w:t>
            </w:r>
            <w:r w:rsidRPr="00423439">
              <w:rPr>
                <w:lang w:val="ro-MD"/>
              </w:rPr>
              <w:t>. Prin urmare, nu a existat nicio încălcare a articolului 10 din Convenție.</w:t>
            </w:r>
          </w:p>
          <w:p w14:paraId="0690D653" w14:textId="177C8042" w:rsidR="00734DB1" w:rsidRPr="00423439" w:rsidRDefault="00734DB1" w:rsidP="00C542B4">
            <w:pPr>
              <w:spacing w:before="120" w:after="120"/>
              <w:jc w:val="center"/>
              <w:rPr>
                <w:lang w:val="ro-MD"/>
              </w:rPr>
            </w:pPr>
            <w:r w:rsidRPr="00423439">
              <w:rPr>
                <w:lang w:val="ro-MD"/>
              </w:rPr>
              <w:t xml:space="preserve">114. [..] Având în vedere toți factorii anteriori și luând în considerare marja de apreciere acordată statului, Curtea </w:t>
            </w:r>
            <w:r w:rsidRPr="00423439">
              <w:rPr>
                <w:lang w:val="ro-MD"/>
              </w:rPr>
              <w:lastRenderedPageBreak/>
              <w:t>concluzionează că, în prezenta cauză, autoritățile interne și-au bazat deciziile pe motive relevante și suficiente și au păstrat un echilibru just între interesele concurente aflate în joc. Din dosar reiese în mod clar că autoritățile nu au împiedicat în mod deliberat mass-media să relateze despre demonstrație, în încercarea de a ascunde de ochii publicului acțiunile poliției cu privire la demonstrație în general sau la protestatari individuali</w:t>
            </w:r>
            <w:r w:rsidR="00423439">
              <w:rPr>
                <w:lang w:val="ro-MD"/>
              </w:rPr>
              <w:t>.</w:t>
            </w:r>
          </w:p>
        </w:tc>
        <w:tc>
          <w:tcPr>
            <w:tcW w:w="4111" w:type="dxa"/>
            <w:tcBorders>
              <w:top w:val="single" w:sz="12" w:space="0" w:color="auto"/>
              <w:right w:val="single" w:sz="12" w:space="0" w:color="auto"/>
            </w:tcBorders>
          </w:tcPr>
          <w:p w14:paraId="7D7AF27C" w14:textId="2E66207A" w:rsidR="004F223B" w:rsidRPr="00423439" w:rsidRDefault="00734DB1" w:rsidP="00C542B4">
            <w:pPr>
              <w:spacing w:before="120" w:line="276" w:lineRule="auto"/>
              <w:jc w:val="center"/>
              <w:rPr>
                <w:lang w:val="ro-MD"/>
              </w:rPr>
            </w:pPr>
            <w:r w:rsidRPr="00423439">
              <w:rPr>
                <w:lang w:val="ro-MD"/>
              </w:rPr>
              <w:lastRenderedPageBreak/>
              <w:t>Curtea a constatat că nu a existat nici o încălcare a articolului 10 din Convenție. </w:t>
            </w:r>
          </w:p>
        </w:tc>
      </w:tr>
      <w:tr w:rsidR="004F223B" w:rsidRPr="00423439" w14:paraId="525122F1" w14:textId="77777777" w:rsidTr="00C542B4">
        <w:trPr>
          <w:trHeight w:val="2160"/>
        </w:trPr>
        <w:tc>
          <w:tcPr>
            <w:tcW w:w="557" w:type="dxa"/>
            <w:tcBorders>
              <w:top w:val="single" w:sz="12" w:space="0" w:color="auto"/>
              <w:left w:val="single" w:sz="12" w:space="0" w:color="auto"/>
            </w:tcBorders>
          </w:tcPr>
          <w:p w14:paraId="65A8D86E" w14:textId="20451DCC" w:rsidR="004F223B" w:rsidRPr="00423439" w:rsidRDefault="004F223B" w:rsidP="00C542B4">
            <w:pPr>
              <w:spacing w:before="120" w:after="120"/>
              <w:jc w:val="center"/>
              <w:rPr>
                <w:b/>
                <w:bCs/>
                <w:lang w:val="ro-MD"/>
              </w:rPr>
            </w:pPr>
            <w:r w:rsidRPr="00423439">
              <w:rPr>
                <w:b/>
                <w:bCs/>
                <w:lang w:val="ro-MD"/>
              </w:rPr>
              <w:t>2)</w:t>
            </w:r>
          </w:p>
        </w:tc>
        <w:tc>
          <w:tcPr>
            <w:tcW w:w="1413" w:type="dxa"/>
            <w:tcBorders>
              <w:top w:val="single" w:sz="12" w:space="0" w:color="auto"/>
            </w:tcBorders>
          </w:tcPr>
          <w:p w14:paraId="2090C259" w14:textId="46AEB2AA" w:rsidR="004F223B" w:rsidRPr="00423439" w:rsidRDefault="00734DB1" w:rsidP="00C542B4">
            <w:pPr>
              <w:spacing w:before="120" w:after="120"/>
              <w:jc w:val="center"/>
              <w:rPr>
                <w:b/>
                <w:bCs/>
                <w:lang w:val="ro-MD"/>
              </w:rPr>
            </w:pPr>
            <w:r w:rsidRPr="00423439">
              <w:rPr>
                <w:b/>
                <w:bCs/>
                <w:lang w:val="ro-MD"/>
              </w:rPr>
              <w:t>Murray c. Olandei</w:t>
            </w:r>
          </w:p>
          <w:p w14:paraId="6DFE7360" w14:textId="77777777" w:rsidR="00734DB1" w:rsidRPr="00423439" w:rsidRDefault="00734DB1" w:rsidP="00C542B4">
            <w:pPr>
              <w:spacing w:before="120" w:after="120"/>
              <w:jc w:val="center"/>
              <w:rPr>
                <w:b/>
                <w:bCs/>
                <w:lang w:val="ro-MD"/>
              </w:rPr>
            </w:pPr>
            <w:r w:rsidRPr="00423439">
              <w:rPr>
                <w:b/>
                <w:bCs/>
                <w:lang w:val="ro-MD"/>
              </w:rPr>
              <w:t>(</w:t>
            </w:r>
            <w:r w:rsidRPr="00423439">
              <w:rPr>
                <w:i/>
                <w:iCs/>
                <w:lang w:val="ro-MD"/>
              </w:rPr>
              <w:t xml:space="preserve">Cererea nr. </w:t>
            </w:r>
            <w:hyperlink r:id="rId9" w:history="1">
              <w:r w:rsidRPr="00423439">
                <w:rPr>
                  <w:rStyle w:val="af4"/>
                  <w:i/>
                  <w:iCs/>
                  <w:lang w:val="ro-MD"/>
                </w:rPr>
                <w:t>10511/10</w:t>
              </w:r>
            </w:hyperlink>
            <w:r w:rsidRPr="00423439">
              <w:rPr>
                <w:b/>
                <w:bCs/>
                <w:lang w:val="ro-MD"/>
              </w:rPr>
              <w:t>)</w:t>
            </w:r>
          </w:p>
          <w:p w14:paraId="1983E88D" w14:textId="49FD4184" w:rsidR="00734DB1" w:rsidRPr="00423439" w:rsidRDefault="00734DB1" w:rsidP="00C542B4">
            <w:pPr>
              <w:spacing w:before="120" w:after="120"/>
              <w:jc w:val="center"/>
              <w:rPr>
                <w:b/>
                <w:bCs/>
                <w:lang w:val="ro-MD"/>
              </w:rPr>
            </w:pPr>
            <w:r w:rsidRPr="00423439">
              <w:rPr>
                <w:b/>
                <w:bCs/>
                <w:lang w:val="ro-MD"/>
              </w:rPr>
              <w:t>26 aprilie 2016</w:t>
            </w:r>
          </w:p>
        </w:tc>
        <w:tc>
          <w:tcPr>
            <w:tcW w:w="992" w:type="dxa"/>
            <w:tcBorders>
              <w:top w:val="single" w:sz="12" w:space="0" w:color="auto"/>
            </w:tcBorders>
          </w:tcPr>
          <w:p w14:paraId="747D34F9" w14:textId="26CA7616" w:rsidR="004F223B" w:rsidRPr="00423439" w:rsidRDefault="004F223B" w:rsidP="00C542B4">
            <w:pPr>
              <w:spacing w:before="120" w:after="120"/>
              <w:jc w:val="center"/>
              <w:rPr>
                <w:lang w:val="ro-MD"/>
              </w:rPr>
            </w:pPr>
            <w:r w:rsidRPr="00423439">
              <w:rPr>
                <w:lang w:val="ro-MD"/>
              </w:rPr>
              <w:t>MC</w:t>
            </w:r>
          </w:p>
        </w:tc>
        <w:tc>
          <w:tcPr>
            <w:tcW w:w="992" w:type="dxa"/>
            <w:tcBorders>
              <w:top w:val="single" w:sz="12" w:space="0" w:color="auto"/>
            </w:tcBorders>
          </w:tcPr>
          <w:p w14:paraId="026626CD" w14:textId="6A59B1AF" w:rsidR="004F223B" w:rsidRPr="00423439" w:rsidRDefault="00734DB1" w:rsidP="00C542B4">
            <w:pPr>
              <w:spacing w:before="120" w:after="120"/>
              <w:jc w:val="center"/>
              <w:rPr>
                <w:lang w:val="ro-MD"/>
              </w:rPr>
            </w:pPr>
            <w:r w:rsidRPr="00423439">
              <w:rPr>
                <w:lang w:val="ro-MD"/>
              </w:rPr>
              <w:t>3</w:t>
            </w:r>
          </w:p>
        </w:tc>
        <w:tc>
          <w:tcPr>
            <w:tcW w:w="709" w:type="dxa"/>
            <w:tcBorders>
              <w:top w:val="single" w:sz="12" w:space="0" w:color="auto"/>
            </w:tcBorders>
          </w:tcPr>
          <w:p w14:paraId="23EB4125" w14:textId="4840B1B3" w:rsidR="004F223B" w:rsidRPr="00423439" w:rsidRDefault="00734DB1" w:rsidP="00C542B4">
            <w:pPr>
              <w:spacing w:before="120" w:after="120"/>
              <w:jc w:val="center"/>
              <w:rPr>
                <w:lang w:val="ro-MD"/>
              </w:rPr>
            </w:pPr>
            <w:r w:rsidRPr="00423439">
              <w:rPr>
                <w:lang w:val="ro-MD"/>
              </w:rPr>
              <w:t>-</w:t>
            </w:r>
          </w:p>
        </w:tc>
        <w:tc>
          <w:tcPr>
            <w:tcW w:w="1276" w:type="dxa"/>
            <w:tcBorders>
              <w:top w:val="single" w:sz="12" w:space="0" w:color="auto"/>
            </w:tcBorders>
          </w:tcPr>
          <w:p w14:paraId="132EE48A" w14:textId="79F01F01" w:rsidR="004F223B" w:rsidRPr="00423439" w:rsidRDefault="004E249D" w:rsidP="00C542B4">
            <w:pPr>
              <w:spacing w:before="120" w:after="120"/>
              <w:jc w:val="center"/>
              <w:rPr>
                <w:lang w:val="ro-MD"/>
              </w:rPr>
            </w:pPr>
            <w:r w:rsidRPr="00423439">
              <w:rPr>
                <w:lang w:val="ro-MD"/>
              </w:rPr>
              <w:t xml:space="preserve">condamnare </w:t>
            </w:r>
            <w:r w:rsidR="00734DB1" w:rsidRPr="00423439">
              <w:rPr>
                <w:lang w:val="ro-MD"/>
              </w:rPr>
              <w:t xml:space="preserve">pe viață, omor, </w:t>
            </w:r>
            <w:r w:rsidRPr="00423439">
              <w:rPr>
                <w:lang w:val="ro-MD"/>
              </w:rPr>
              <w:t>posibilitate </w:t>
            </w:r>
            <w:r w:rsidRPr="00423439">
              <w:rPr>
                <w:i/>
                <w:iCs/>
                <w:lang w:val="ro-MD"/>
              </w:rPr>
              <w:t>de jure </w:t>
            </w:r>
            <w:r w:rsidRPr="00423439">
              <w:rPr>
                <w:lang w:val="ro-MD"/>
              </w:rPr>
              <w:t xml:space="preserve">de eliberare, tratament psihiatric, grațiere </w:t>
            </w:r>
          </w:p>
        </w:tc>
        <w:tc>
          <w:tcPr>
            <w:tcW w:w="6095" w:type="dxa"/>
            <w:tcBorders>
              <w:top w:val="single" w:sz="12" w:space="0" w:color="auto"/>
            </w:tcBorders>
          </w:tcPr>
          <w:p w14:paraId="504B09A7" w14:textId="77003072" w:rsidR="004F223B" w:rsidRPr="00423439" w:rsidRDefault="004E249D" w:rsidP="00C542B4">
            <w:pPr>
              <w:spacing w:before="120" w:after="120"/>
              <w:jc w:val="center"/>
              <w:rPr>
                <w:lang w:val="ro-MD"/>
              </w:rPr>
            </w:pPr>
            <w:r w:rsidRPr="00423439">
              <w:rPr>
                <w:lang w:val="ro-MD"/>
              </w:rPr>
              <w:t xml:space="preserve">117. Curtea observă în acest sens că, în contextul procedurii penale intentate împotriva sa pentru acuzația de omor, reclamantul a fost examinat în 1979 de un psihiatru, care l-a diagnosticat ca fiind un tânăr retardat, infantil și narcisist, a cărui structură de caracter prezenta o tulburare gravă de natură psihopatiformă și i-a recomandat să primească un tratament instituțional pentru o perioadă lungă de timp sau să se facă încercări în cadrul penitenciarului pentru a dobândi o structură de personalitate mai puternică pentru a evita recidiva. Având în vedere faptul că în Antilele Olandeze nu se putea impune la acea vreme nicio ordonanță de internare într-o clinică de detenție – întrucât legea aplicabilă nu prevedea o astfel de măsură – și considerând că internarea într-o astfel de clinică din partea europeană a Regatului nu era fezabilă, Curtea Comună de Justiție a aplicat reclamantului o pedeapsă cu închisoarea pe viață la 11 </w:t>
            </w:r>
            <w:r w:rsidRPr="00423439">
              <w:rPr>
                <w:lang w:val="ro-MD"/>
              </w:rPr>
              <w:lastRenderedPageBreak/>
              <w:t xml:space="preserve">martie 1980. Cu toate acestea, Curtea consideră că detenția reclamantului într-o închisoare, mai degrabă decât într-o clinică de detenție, nu ar fi putut înlătura necesitatea tratamentului recomandat. Curtea nu poate accepta nici că, </w:t>
            </w:r>
            <w:r w:rsidRPr="00423439">
              <w:rPr>
                <w:b/>
                <w:bCs/>
                <w:lang w:val="ro-MD"/>
              </w:rPr>
              <w:t>prin simplul fapt că pedeapsa aplicată reclamantului nu a inclus o măsură care să prevadă că acesta urmează un tratament, Guvernul nu ar fi avut nicio altă obligație în această privință pe durata încarcerării reclamantului</w:t>
            </w:r>
            <w:r w:rsidRPr="00423439">
              <w:rPr>
                <w:lang w:val="ro-MD"/>
              </w:rPr>
              <w:t xml:space="preserve">. Aceasta reiterează că statele </w:t>
            </w:r>
            <w:r w:rsidRPr="00423439">
              <w:rPr>
                <w:b/>
                <w:bCs/>
                <w:lang w:val="ro-MD"/>
              </w:rPr>
              <w:t>au obligația de a oferi deținuților care suferă de probleme de sănătate – inclusiv probleme de sănătate mintală – îngrijiri medicale adecvate</w:t>
            </w:r>
            <w:r w:rsidRPr="00423439">
              <w:rPr>
                <w:lang w:val="ro-MD"/>
              </w:rPr>
              <w:t>, printre altele, pentru a le permite, dacă este posibil, să se reabiliteze, indiferent dacă deținutul a formulat sau nu o cerere în acest sens.</w:t>
            </w:r>
          </w:p>
          <w:p w14:paraId="1D025E1F" w14:textId="2C186300" w:rsidR="004E249D" w:rsidRPr="00423439" w:rsidRDefault="004E249D" w:rsidP="00C542B4">
            <w:pPr>
              <w:spacing w:before="120" w:after="120"/>
              <w:jc w:val="center"/>
              <w:rPr>
                <w:lang w:val="ro-MD"/>
              </w:rPr>
            </w:pPr>
            <w:r w:rsidRPr="00423439">
              <w:rPr>
                <w:lang w:val="ro-MD"/>
              </w:rPr>
              <w:t xml:space="preserve">122. Din deciziile Curții Comune de Justiție menționate în paragraful precedent reiese în mod clar că a existat o legătură strânsă în prezenta cauză între persistența riscului de recidivă al reclamantului, pe de o parte, și lipsa tratamentului, pe de altă parte. Mai mult, Curtea observă că </w:t>
            </w:r>
            <w:r w:rsidRPr="00423439">
              <w:rPr>
                <w:b/>
                <w:bCs/>
                <w:lang w:val="ro-MD"/>
              </w:rPr>
              <w:t>autoritățile știau că tratamentul fusese recomandat pentru a preveni recidiva și că știau, de asemenea, că reclamantul nu primise niciunul</w:t>
            </w:r>
            <w:r w:rsidRPr="00423439">
              <w:rPr>
                <w:lang w:val="ro-MD"/>
              </w:rPr>
              <w:t>.</w:t>
            </w:r>
          </w:p>
          <w:p w14:paraId="0902402D" w14:textId="5D4F8431" w:rsidR="004E249D" w:rsidRPr="00423439" w:rsidRDefault="004E249D" w:rsidP="00C542B4">
            <w:pPr>
              <w:spacing w:before="120" w:after="120"/>
              <w:jc w:val="center"/>
              <w:rPr>
                <w:lang w:val="ro-MD"/>
              </w:rPr>
            </w:pPr>
            <w:r w:rsidRPr="00423439">
              <w:rPr>
                <w:lang w:val="ro-MD"/>
              </w:rPr>
              <w:t xml:space="preserve">124. [..] </w:t>
            </w:r>
            <w:r w:rsidRPr="00423439">
              <w:rPr>
                <w:rFonts w:ascii="Arial" w:hAnsi="Arial" w:cs="Arial"/>
                <w:color w:val="000000"/>
                <w:shd w:val="clear" w:color="auto" w:fill="FFFFFF"/>
                <w:lang w:val="ro-MD"/>
              </w:rPr>
              <w:t xml:space="preserve"> </w:t>
            </w:r>
            <w:r w:rsidRPr="00423439">
              <w:rPr>
                <w:lang w:val="ro-MD"/>
              </w:rPr>
              <w:t xml:space="preserve">statele au o marjă largă de apreciere în stabilirea facilităților sau măsurilor necesare pentru a oferi unui deținut pe viață posibilitatea de a se reabilita într-o asemenea </w:t>
            </w:r>
            <w:r w:rsidRPr="00423439">
              <w:rPr>
                <w:lang w:val="ro-MD"/>
              </w:rPr>
              <w:lastRenderedPageBreak/>
              <w:t xml:space="preserve">măsură încât să poată fi într-o zi eligibil pentru eliberare. Prin urmare, nu este de competența Curții să prescrie ce tratament a fost necesar în circumstanțele specifice. Cu toate acestea, deși reclamantul din prezenta cauză a fost într-adevăr evaluat inițial, înainte de a fi condamnat la închisoare pe viață, ca necesitând tratament, nu se pare că au fost efectuate alte evaluări – nici la începutul executării pedepsei, nici ulterior – cu privire la tipul de tratament care ar putea fi necesar și care ar putea fi pus la dispoziție sau la aptitudinea și dorința reclamantului de a primi un astfel de tratament. În opinia Curții, se acordă foarte puțină relevanță, dacă este cazul, faptului că reclamantul însuși nu a fost aparent preocupat de obținerea unui tratament și a preferat să fie transferat din Curaçao în Aruba, unde disponibilitatea asistenței psihiatrice era și mai limitată. </w:t>
            </w:r>
            <w:r w:rsidRPr="00423439">
              <w:rPr>
                <w:b/>
                <w:bCs/>
                <w:lang w:val="ro-MD"/>
              </w:rPr>
              <w:t>Trebuie avut în vedere faptul că persoanele cu probleme de sănătate mintală pot întâmpina dificultăți în a-și evalua propria situație sau nevoi și pot fi incapabile să indice în mod coerent sau chiar deloc că necesită tratament</w:t>
            </w:r>
            <w:r w:rsidR="00423439">
              <w:rPr>
                <w:b/>
                <w:bCs/>
                <w:lang w:val="ro-MD"/>
              </w:rPr>
              <w:t>.</w:t>
            </w:r>
          </w:p>
        </w:tc>
        <w:tc>
          <w:tcPr>
            <w:tcW w:w="4111" w:type="dxa"/>
            <w:tcBorders>
              <w:top w:val="single" w:sz="12" w:space="0" w:color="auto"/>
              <w:right w:val="single" w:sz="12" w:space="0" w:color="auto"/>
            </w:tcBorders>
          </w:tcPr>
          <w:p w14:paraId="3664C11C" w14:textId="087C3575" w:rsidR="004F223B" w:rsidRPr="00423439" w:rsidRDefault="004E249D" w:rsidP="00C542B4">
            <w:pPr>
              <w:spacing w:before="120" w:line="276" w:lineRule="auto"/>
              <w:jc w:val="center"/>
              <w:rPr>
                <w:lang w:val="ro-MD"/>
              </w:rPr>
            </w:pPr>
            <w:r w:rsidRPr="00423439">
              <w:rPr>
                <w:lang w:val="ro-MD"/>
              </w:rPr>
              <w:lastRenderedPageBreak/>
              <w:t>Încălcarea art. 3 al Convenției + 27.500 EUR (douăzeci și șapte de mii cinci sute de euro) cu titlu de costuri și cheltuieli, plus orice impozit care le-ar putea fi datorat;  </w:t>
            </w:r>
          </w:p>
        </w:tc>
      </w:tr>
      <w:tr w:rsidR="004F223B" w:rsidRPr="00423439" w14:paraId="6D7338BC" w14:textId="77777777" w:rsidTr="00C542B4">
        <w:trPr>
          <w:trHeight w:val="2160"/>
        </w:trPr>
        <w:tc>
          <w:tcPr>
            <w:tcW w:w="557" w:type="dxa"/>
            <w:tcBorders>
              <w:top w:val="single" w:sz="12" w:space="0" w:color="auto"/>
              <w:left w:val="single" w:sz="12" w:space="0" w:color="auto"/>
            </w:tcBorders>
          </w:tcPr>
          <w:p w14:paraId="2CABCF16" w14:textId="6AA2CA2A" w:rsidR="004F223B" w:rsidRPr="00423439" w:rsidRDefault="004F223B" w:rsidP="00C542B4">
            <w:pPr>
              <w:spacing w:before="120" w:after="120"/>
              <w:jc w:val="center"/>
              <w:rPr>
                <w:b/>
                <w:bCs/>
                <w:lang w:val="ro-MD"/>
              </w:rPr>
            </w:pPr>
            <w:r w:rsidRPr="00423439">
              <w:rPr>
                <w:b/>
                <w:bCs/>
                <w:lang w:val="ro-MD"/>
              </w:rPr>
              <w:lastRenderedPageBreak/>
              <w:t>3)</w:t>
            </w:r>
          </w:p>
        </w:tc>
        <w:tc>
          <w:tcPr>
            <w:tcW w:w="1413" w:type="dxa"/>
            <w:tcBorders>
              <w:top w:val="single" w:sz="12" w:space="0" w:color="auto"/>
            </w:tcBorders>
          </w:tcPr>
          <w:p w14:paraId="2E047F98" w14:textId="77777777" w:rsidR="004F223B" w:rsidRPr="00423439" w:rsidRDefault="00ED39DA" w:rsidP="00C542B4">
            <w:pPr>
              <w:spacing w:before="120" w:after="120"/>
              <w:jc w:val="center"/>
              <w:rPr>
                <w:b/>
                <w:bCs/>
                <w:lang w:val="ro-MD"/>
              </w:rPr>
            </w:pPr>
            <w:r w:rsidRPr="00423439">
              <w:rPr>
                <w:b/>
                <w:bCs/>
                <w:lang w:val="ro-MD"/>
              </w:rPr>
              <w:t>S</w:t>
            </w:r>
            <w:r w:rsidR="004E249D" w:rsidRPr="00423439">
              <w:rPr>
                <w:b/>
                <w:bCs/>
                <w:lang w:val="ro-MD"/>
              </w:rPr>
              <w:t xml:space="preserve">atakunnan markkinapörssi oy și </w:t>
            </w:r>
            <w:r w:rsidRPr="00423439">
              <w:rPr>
                <w:b/>
                <w:bCs/>
                <w:lang w:val="ro-MD"/>
              </w:rPr>
              <w:t>S</w:t>
            </w:r>
            <w:r w:rsidR="004E249D" w:rsidRPr="00423439">
              <w:rPr>
                <w:b/>
                <w:bCs/>
                <w:lang w:val="ro-MD"/>
              </w:rPr>
              <w:t xml:space="preserve">atamedia </w:t>
            </w:r>
            <w:r w:rsidR="004E249D" w:rsidRPr="00423439">
              <w:rPr>
                <w:b/>
                <w:bCs/>
                <w:lang w:val="ro-MD"/>
              </w:rPr>
              <w:lastRenderedPageBreak/>
              <w:t>oy c. Finlandei</w:t>
            </w:r>
          </w:p>
          <w:p w14:paraId="3157BAAF" w14:textId="77777777" w:rsidR="00ED39DA" w:rsidRPr="00423439" w:rsidRDefault="00ED39DA" w:rsidP="00C542B4">
            <w:pPr>
              <w:spacing w:before="120" w:after="120"/>
              <w:jc w:val="center"/>
              <w:rPr>
                <w:b/>
                <w:bCs/>
                <w:i/>
                <w:iCs/>
                <w:lang w:val="ro-MD"/>
              </w:rPr>
            </w:pPr>
            <w:r w:rsidRPr="00423439">
              <w:rPr>
                <w:b/>
                <w:bCs/>
                <w:i/>
                <w:iCs/>
                <w:lang w:val="ro-MD"/>
              </w:rPr>
              <w:t>(Cererea nr. </w:t>
            </w:r>
            <w:hyperlink r:id="rId10" w:anchor="{%22appno%22:[%22931/13%22]}" w:tgtFrame="_blank" w:history="1">
              <w:r w:rsidRPr="00423439">
                <w:rPr>
                  <w:rStyle w:val="af4"/>
                  <w:b/>
                  <w:bCs/>
                  <w:i/>
                  <w:iCs/>
                  <w:lang w:val="ro-MD"/>
                </w:rPr>
                <w:t>931/13</w:t>
              </w:r>
            </w:hyperlink>
            <w:r w:rsidRPr="00423439">
              <w:rPr>
                <w:b/>
                <w:bCs/>
                <w:i/>
                <w:iCs/>
                <w:lang w:val="ro-MD"/>
              </w:rPr>
              <w:t>)</w:t>
            </w:r>
          </w:p>
          <w:p w14:paraId="563454DC" w14:textId="19C5D6E6" w:rsidR="00ED39DA" w:rsidRPr="00423439" w:rsidRDefault="00ED39DA" w:rsidP="00C542B4">
            <w:pPr>
              <w:spacing w:before="120" w:after="120"/>
              <w:jc w:val="center"/>
              <w:rPr>
                <w:b/>
                <w:bCs/>
                <w:lang w:val="ro-MD"/>
              </w:rPr>
            </w:pPr>
            <w:r w:rsidRPr="00423439">
              <w:rPr>
                <w:b/>
                <w:bCs/>
                <w:lang w:val="ro-MD"/>
              </w:rPr>
              <w:t>27 iunie 2017</w:t>
            </w:r>
          </w:p>
        </w:tc>
        <w:tc>
          <w:tcPr>
            <w:tcW w:w="992" w:type="dxa"/>
            <w:tcBorders>
              <w:top w:val="single" w:sz="12" w:space="0" w:color="auto"/>
            </w:tcBorders>
          </w:tcPr>
          <w:p w14:paraId="30A85BE8" w14:textId="59138638" w:rsidR="004F223B" w:rsidRPr="00423439" w:rsidRDefault="004F223B" w:rsidP="00C542B4">
            <w:pPr>
              <w:spacing w:before="120" w:after="120"/>
              <w:jc w:val="center"/>
              <w:rPr>
                <w:lang w:val="ro-MD"/>
              </w:rPr>
            </w:pPr>
            <w:r w:rsidRPr="00423439">
              <w:rPr>
                <w:lang w:val="ro-MD"/>
              </w:rPr>
              <w:lastRenderedPageBreak/>
              <w:t>MC</w:t>
            </w:r>
          </w:p>
        </w:tc>
        <w:tc>
          <w:tcPr>
            <w:tcW w:w="992" w:type="dxa"/>
            <w:tcBorders>
              <w:top w:val="single" w:sz="12" w:space="0" w:color="auto"/>
            </w:tcBorders>
          </w:tcPr>
          <w:p w14:paraId="237EE098" w14:textId="77777777" w:rsidR="004F223B" w:rsidRPr="00423439" w:rsidRDefault="00ED39DA" w:rsidP="00C542B4">
            <w:pPr>
              <w:spacing w:before="120" w:after="120"/>
              <w:jc w:val="center"/>
              <w:rPr>
                <w:lang w:val="ro-MD"/>
              </w:rPr>
            </w:pPr>
            <w:r w:rsidRPr="00423439">
              <w:rPr>
                <w:lang w:val="ro-MD"/>
              </w:rPr>
              <w:t>6</w:t>
            </w:r>
          </w:p>
          <w:p w14:paraId="317DD7A0" w14:textId="77777777" w:rsidR="00ED39DA" w:rsidRPr="00423439" w:rsidRDefault="00ED39DA" w:rsidP="00C542B4">
            <w:pPr>
              <w:spacing w:before="120" w:after="120"/>
              <w:jc w:val="center"/>
              <w:rPr>
                <w:lang w:val="ro-MD"/>
              </w:rPr>
            </w:pPr>
            <w:r w:rsidRPr="00423439">
              <w:rPr>
                <w:lang w:val="ro-MD"/>
              </w:rPr>
              <w:t>8</w:t>
            </w:r>
          </w:p>
          <w:p w14:paraId="45DAA0E8" w14:textId="1C0E442A" w:rsidR="00ED39DA" w:rsidRPr="00423439" w:rsidRDefault="00ED39DA" w:rsidP="00C542B4">
            <w:pPr>
              <w:spacing w:before="120" w:after="120"/>
              <w:jc w:val="center"/>
              <w:rPr>
                <w:lang w:val="ro-MD"/>
              </w:rPr>
            </w:pPr>
            <w:r w:rsidRPr="00423439">
              <w:rPr>
                <w:lang w:val="ro-MD"/>
              </w:rPr>
              <w:t>10</w:t>
            </w:r>
          </w:p>
        </w:tc>
        <w:tc>
          <w:tcPr>
            <w:tcW w:w="709" w:type="dxa"/>
            <w:tcBorders>
              <w:top w:val="single" w:sz="12" w:space="0" w:color="auto"/>
            </w:tcBorders>
          </w:tcPr>
          <w:p w14:paraId="6F5BC503" w14:textId="0DA0E404" w:rsidR="004F223B" w:rsidRPr="00423439" w:rsidRDefault="00ED39DA" w:rsidP="00C542B4">
            <w:pPr>
              <w:spacing w:before="120" w:after="120"/>
              <w:jc w:val="center"/>
              <w:rPr>
                <w:lang w:val="ro-MD"/>
              </w:rPr>
            </w:pPr>
            <w:r w:rsidRPr="00423439">
              <w:rPr>
                <w:lang w:val="ro-MD"/>
              </w:rPr>
              <w:t>-</w:t>
            </w:r>
          </w:p>
        </w:tc>
        <w:tc>
          <w:tcPr>
            <w:tcW w:w="1276" w:type="dxa"/>
            <w:tcBorders>
              <w:top w:val="single" w:sz="12" w:space="0" w:color="auto"/>
            </w:tcBorders>
          </w:tcPr>
          <w:p w14:paraId="2EA1F109" w14:textId="2A7187BD" w:rsidR="004F223B" w:rsidRPr="00423439" w:rsidRDefault="00ED39DA" w:rsidP="00C542B4">
            <w:pPr>
              <w:spacing w:before="120" w:after="120"/>
              <w:jc w:val="center"/>
              <w:rPr>
                <w:lang w:val="ro-MD"/>
              </w:rPr>
            </w:pPr>
            <w:r w:rsidRPr="00423439">
              <w:rPr>
                <w:lang w:val="ro-MD"/>
              </w:rPr>
              <w:t xml:space="preserve">venituri și active impozabile, </w:t>
            </w:r>
            <w:r w:rsidR="0094587E" w:rsidRPr="00423439">
              <w:rPr>
                <w:lang w:val="ro-MD"/>
              </w:rPr>
              <w:t xml:space="preserve">date fiscale </w:t>
            </w:r>
            <w:r w:rsidR="0094587E" w:rsidRPr="00423439">
              <w:rPr>
                <w:lang w:val="ro-MD"/>
              </w:rPr>
              <w:lastRenderedPageBreak/>
              <w:t xml:space="preserve">publice, </w:t>
            </w:r>
            <w:r w:rsidRPr="00423439">
              <w:rPr>
                <w:lang w:val="ro-MD"/>
              </w:rPr>
              <w:t>ziarul Veropörssi</w:t>
            </w:r>
            <w:r w:rsidR="0094587E" w:rsidRPr="00423439">
              <w:rPr>
                <w:lang w:val="ro-MD"/>
              </w:rPr>
              <w:t>,  protecția datelor, interes public</w:t>
            </w:r>
          </w:p>
        </w:tc>
        <w:tc>
          <w:tcPr>
            <w:tcW w:w="6095" w:type="dxa"/>
            <w:tcBorders>
              <w:top w:val="single" w:sz="12" w:space="0" w:color="auto"/>
            </w:tcBorders>
          </w:tcPr>
          <w:p w14:paraId="4AE1433A" w14:textId="77777777" w:rsidR="004F223B" w:rsidRPr="00423439" w:rsidRDefault="0094587E" w:rsidP="00C542B4">
            <w:pPr>
              <w:spacing w:before="120" w:after="120"/>
              <w:jc w:val="center"/>
              <w:rPr>
                <w:lang w:val="ro-MD"/>
              </w:rPr>
            </w:pPr>
            <w:r w:rsidRPr="00423439">
              <w:rPr>
                <w:lang w:val="ro-MD"/>
              </w:rPr>
              <w:lastRenderedPageBreak/>
              <w:t xml:space="preserve">98. Camera a considerat că a existat o ingerință în dreptul societăților reclamante de a comunica informații, dar că această ingerință fusese „prevăzută de lege” și urmărise scopul legitim de a proteja reputația sau drepturile altora. În ceea ce privește necesitatea respectivei ingerințe într-o </w:t>
            </w:r>
            <w:r w:rsidRPr="00423439">
              <w:rPr>
                <w:lang w:val="ro-MD"/>
              </w:rPr>
              <w:lastRenderedPageBreak/>
              <w:t xml:space="preserve">societate democratică, Camera a observat că datele fiscale în cauză erau deja publice în Finlanda și, ca atare, </w:t>
            </w:r>
            <w:r w:rsidRPr="00423439">
              <w:rPr>
                <w:b/>
                <w:bCs/>
                <w:lang w:val="ro-MD"/>
              </w:rPr>
              <w:t>reprezentau o chestiune de interes public</w:t>
            </w:r>
            <w:r w:rsidRPr="00423439">
              <w:rPr>
                <w:lang w:val="ro-MD"/>
              </w:rPr>
              <w:t>. Aceste informații fuseseră primite direct de la autoritățile fiscale și nu existau, potrivit Camerei, nicio dovadă sau vreo acuzație de erori factuale, denaturare a informațiilor sau rea-credință din partea societăților reclamante. Singura problemă pentru autoritățile și instanțele naționale a fost modul și măsura în care informațiile puteau fi publicate.</w:t>
            </w:r>
          </w:p>
          <w:p w14:paraId="723A1D5E" w14:textId="44EF8411" w:rsidR="0094587E" w:rsidRPr="00423439" w:rsidRDefault="0094587E" w:rsidP="00C542B4">
            <w:pPr>
              <w:spacing w:before="120" w:after="120"/>
              <w:jc w:val="center"/>
              <w:rPr>
                <w:lang w:val="ro-MD"/>
              </w:rPr>
            </w:pPr>
            <w:r w:rsidRPr="00423439">
              <w:rPr>
                <w:lang w:val="ro-MD"/>
              </w:rPr>
              <w:t>120. Curtea notează de la bun început că p</w:t>
            </w:r>
            <w:r w:rsidRPr="00607149">
              <w:rPr>
                <w:b/>
                <w:bCs/>
                <w:lang w:val="ro-MD"/>
              </w:rPr>
              <w:t>rezenta cauză este neobișnuită</w:t>
            </w:r>
            <w:r w:rsidRPr="00423439">
              <w:rPr>
                <w:lang w:val="ro-MD"/>
              </w:rPr>
              <w:t xml:space="preserve">, în măsura în care datele fiscale în cauză erau accesibile publicului în Finlanda. În plus, așa cum au subliniat societățile reclamante, acestea nu erau singurele instituții media din Finlanda care colectau, prelucrau și publicau date fiscale precum cele apărute în Veropörssi. Publicarea lor diferă de cea a celorlalte instituții media prin modul și amploarea datelor publicate.  </w:t>
            </w:r>
          </w:p>
          <w:p w14:paraId="76566ACA" w14:textId="77777777" w:rsidR="0094587E" w:rsidRPr="00423439" w:rsidRDefault="0094587E" w:rsidP="00C542B4">
            <w:pPr>
              <w:spacing w:before="120" w:after="120"/>
              <w:jc w:val="center"/>
              <w:rPr>
                <w:lang w:val="ro-MD"/>
              </w:rPr>
            </w:pPr>
            <w:r w:rsidRPr="00423439">
              <w:rPr>
                <w:lang w:val="ro-MD"/>
              </w:rPr>
              <w:t>143. În ceea ce privește cerința previzibilității, Curtea a statuat în repetate rânduri că o normă nu poate fi considerată „lege” în sensul articolului 10 § 2 decât dacă este formulată cu suficientă precizie pentru a permite unei persoane să își reglementeze conduita.</w:t>
            </w:r>
            <w:r w:rsidRPr="00607149">
              <w:rPr>
                <w:b/>
                <w:bCs/>
                <w:lang w:val="ro-MD"/>
              </w:rPr>
              <w:t xml:space="preserve"> Persoana respectivă trebuie să fie capabilă – dacă este necesar, cu consultanță adecvată – să prevadă, într-o măsură rezonabilă în circumstanțe, consecințele pe care le poate avea o anumită acțiune</w:t>
            </w:r>
            <w:r w:rsidRPr="00423439">
              <w:rPr>
                <w:lang w:val="ro-MD"/>
              </w:rPr>
              <w:t xml:space="preserve">. </w:t>
            </w:r>
            <w:r w:rsidRPr="00423439">
              <w:rPr>
                <w:lang w:val="ro-MD"/>
              </w:rPr>
              <w:lastRenderedPageBreak/>
              <w:t>Aceste consecințe nu trebuie neapărat să fie previzibile cu o certitudine absolută. Deși certitudinea este de dorit, ea poate aduce cu sine o rigiditate excesivă, iar legea trebuie să poată ține pasul cu schimbarea circumstanțelor.</w:t>
            </w:r>
          </w:p>
          <w:p w14:paraId="15A8C44F" w14:textId="5D474971" w:rsidR="0094587E" w:rsidRPr="00423439" w:rsidRDefault="0094587E" w:rsidP="00C542B4">
            <w:pPr>
              <w:spacing w:before="120" w:after="120"/>
              <w:jc w:val="center"/>
              <w:rPr>
                <w:lang w:val="ro-MD"/>
              </w:rPr>
            </w:pPr>
            <w:r w:rsidRPr="00423439">
              <w:rPr>
                <w:lang w:val="ro-MD"/>
              </w:rPr>
              <w:t>197. După cum s-a indicat în hotărârea Camerei, societăților reclamante nu li s-a interzis să publice date fiscale sau să continue să publice </w:t>
            </w:r>
            <w:r w:rsidRPr="00423439">
              <w:rPr>
                <w:i/>
                <w:iCs/>
                <w:lang w:val="ro-MD"/>
              </w:rPr>
              <w:t>Veropörssi </w:t>
            </w:r>
            <w:r w:rsidRPr="00423439">
              <w:rPr>
                <w:lang w:val="ro-MD"/>
              </w:rPr>
              <w:t>, deși trebuiau să facă acest lucru într-un mod conform cu normele finlandeze și ale UE privind protecția datelor și accesul la informații. Faptul că, în practică, limitările impuse cantității informațiilor care urmează să fie publicate ar fi putut face ca unele dintre activitățile lor comerciale să fie mai puțin profitabile nu constituie, ca atare, o sancțiune în sensul jurisprudenței Curții.</w:t>
            </w:r>
          </w:p>
        </w:tc>
        <w:tc>
          <w:tcPr>
            <w:tcW w:w="4111" w:type="dxa"/>
            <w:tcBorders>
              <w:top w:val="single" w:sz="12" w:space="0" w:color="auto"/>
              <w:right w:val="single" w:sz="12" w:space="0" w:color="auto"/>
            </w:tcBorders>
          </w:tcPr>
          <w:p w14:paraId="067FBC9B" w14:textId="6CD3BF62" w:rsidR="004F223B" w:rsidRPr="00423439" w:rsidRDefault="0094587E" w:rsidP="00C542B4">
            <w:pPr>
              <w:spacing w:before="120" w:line="276" w:lineRule="auto"/>
              <w:jc w:val="center"/>
              <w:rPr>
                <w:lang w:val="ro-MD"/>
              </w:rPr>
            </w:pPr>
            <w:r w:rsidRPr="00423439">
              <w:rPr>
                <w:lang w:val="ro-MD"/>
              </w:rPr>
              <w:lastRenderedPageBreak/>
              <w:t>A avut loc o încălcare a articolului 6 § 1 din Convenție + 9.500 EUR (nouă mii cinci sute de euro), inclusiv orice impozit care poate fi perceput, cu titlu de costuri și cheltuieli;</w:t>
            </w:r>
          </w:p>
        </w:tc>
      </w:tr>
      <w:tr w:rsidR="004F223B" w:rsidRPr="00423439" w14:paraId="2C62A2E2" w14:textId="77777777" w:rsidTr="00C542B4">
        <w:trPr>
          <w:trHeight w:val="2160"/>
        </w:trPr>
        <w:tc>
          <w:tcPr>
            <w:tcW w:w="557" w:type="dxa"/>
            <w:tcBorders>
              <w:top w:val="single" w:sz="12" w:space="0" w:color="auto"/>
              <w:left w:val="single" w:sz="12" w:space="0" w:color="auto"/>
            </w:tcBorders>
          </w:tcPr>
          <w:p w14:paraId="3B36BEAA" w14:textId="6A301C53" w:rsidR="004F223B" w:rsidRPr="00423439" w:rsidRDefault="004F223B" w:rsidP="00C542B4">
            <w:pPr>
              <w:spacing w:before="120" w:after="120"/>
              <w:jc w:val="center"/>
              <w:rPr>
                <w:b/>
                <w:bCs/>
                <w:lang w:val="ro-MD"/>
              </w:rPr>
            </w:pPr>
            <w:r w:rsidRPr="00423439">
              <w:rPr>
                <w:b/>
                <w:bCs/>
                <w:lang w:val="ro-MD"/>
              </w:rPr>
              <w:lastRenderedPageBreak/>
              <w:t>4)</w:t>
            </w:r>
          </w:p>
        </w:tc>
        <w:tc>
          <w:tcPr>
            <w:tcW w:w="1413" w:type="dxa"/>
            <w:tcBorders>
              <w:top w:val="single" w:sz="12" w:space="0" w:color="auto"/>
            </w:tcBorders>
          </w:tcPr>
          <w:p w14:paraId="00975448" w14:textId="4B95F38E" w:rsidR="004F223B" w:rsidRPr="00423439" w:rsidRDefault="0094587E" w:rsidP="00C542B4">
            <w:pPr>
              <w:spacing w:before="120" w:after="120"/>
              <w:jc w:val="center"/>
              <w:rPr>
                <w:b/>
                <w:bCs/>
                <w:lang w:val="ro-MD"/>
              </w:rPr>
            </w:pPr>
            <w:r w:rsidRPr="00423439">
              <w:rPr>
                <w:b/>
                <w:bCs/>
                <w:lang w:val="ro-MD"/>
              </w:rPr>
              <w:t>Savickis și alții c. Letoniei</w:t>
            </w:r>
          </w:p>
          <w:p w14:paraId="644289BF" w14:textId="2E373953" w:rsidR="0094587E" w:rsidRPr="00423439" w:rsidRDefault="0094587E" w:rsidP="00C542B4">
            <w:pPr>
              <w:spacing w:before="120" w:after="120"/>
              <w:jc w:val="center"/>
              <w:rPr>
                <w:b/>
                <w:bCs/>
                <w:i/>
                <w:iCs/>
                <w:lang w:val="ro-MD"/>
              </w:rPr>
            </w:pPr>
            <w:r w:rsidRPr="00423439">
              <w:rPr>
                <w:b/>
                <w:bCs/>
                <w:i/>
                <w:iCs/>
                <w:lang w:val="ro-MD"/>
              </w:rPr>
              <w:t>(Cererea nr. </w:t>
            </w:r>
            <w:hyperlink r:id="rId11" w:tgtFrame="_blank" w:history="1">
              <w:r w:rsidRPr="00423439">
                <w:rPr>
                  <w:rStyle w:val="af4"/>
                  <w:b/>
                  <w:bCs/>
                  <w:i/>
                  <w:iCs/>
                  <w:lang w:val="ro-MD"/>
                </w:rPr>
                <w:t>49270/11</w:t>
              </w:r>
            </w:hyperlink>
            <w:r w:rsidRPr="00423439">
              <w:rPr>
                <w:b/>
                <w:bCs/>
                <w:i/>
                <w:iCs/>
                <w:lang w:val="ro-MD"/>
              </w:rPr>
              <w:t>)</w:t>
            </w:r>
          </w:p>
          <w:p w14:paraId="3E3D58B3" w14:textId="7F92BD11" w:rsidR="0094587E" w:rsidRPr="00423439" w:rsidRDefault="0094587E" w:rsidP="00C542B4">
            <w:pPr>
              <w:spacing w:before="120" w:after="120"/>
              <w:jc w:val="center"/>
              <w:rPr>
                <w:b/>
                <w:bCs/>
                <w:lang w:val="ro-MD"/>
              </w:rPr>
            </w:pPr>
            <w:r w:rsidRPr="00423439">
              <w:rPr>
                <w:b/>
                <w:bCs/>
                <w:lang w:val="ro-MD"/>
              </w:rPr>
              <w:t>9 iunie 2022</w:t>
            </w:r>
          </w:p>
        </w:tc>
        <w:tc>
          <w:tcPr>
            <w:tcW w:w="992" w:type="dxa"/>
            <w:tcBorders>
              <w:top w:val="single" w:sz="12" w:space="0" w:color="auto"/>
            </w:tcBorders>
          </w:tcPr>
          <w:p w14:paraId="528095CE" w14:textId="6E4B56AD" w:rsidR="004F223B" w:rsidRPr="00423439" w:rsidRDefault="004F223B" w:rsidP="00C542B4">
            <w:pPr>
              <w:spacing w:before="120" w:after="120"/>
              <w:jc w:val="center"/>
              <w:rPr>
                <w:lang w:val="ro-MD"/>
              </w:rPr>
            </w:pPr>
            <w:r w:rsidRPr="00423439">
              <w:rPr>
                <w:lang w:val="ro-MD"/>
              </w:rPr>
              <w:t>MC</w:t>
            </w:r>
          </w:p>
        </w:tc>
        <w:tc>
          <w:tcPr>
            <w:tcW w:w="992" w:type="dxa"/>
            <w:tcBorders>
              <w:top w:val="single" w:sz="12" w:space="0" w:color="auto"/>
            </w:tcBorders>
          </w:tcPr>
          <w:p w14:paraId="6C6C7AF8" w14:textId="77777777" w:rsidR="004F223B" w:rsidRPr="00423439" w:rsidRDefault="0094587E" w:rsidP="00C542B4">
            <w:pPr>
              <w:spacing w:before="120" w:after="120"/>
              <w:jc w:val="center"/>
              <w:rPr>
                <w:lang w:val="ro-MD"/>
              </w:rPr>
            </w:pPr>
            <w:r w:rsidRPr="00423439">
              <w:rPr>
                <w:lang w:val="ro-MD"/>
              </w:rPr>
              <w:t>14</w:t>
            </w:r>
          </w:p>
          <w:p w14:paraId="29FFE451" w14:textId="545F3951" w:rsidR="0094587E" w:rsidRPr="00423439" w:rsidRDefault="0094587E" w:rsidP="00C542B4">
            <w:pPr>
              <w:spacing w:before="120" w:after="120"/>
              <w:jc w:val="center"/>
              <w:rPr>
                <w:lang w:val="ro-MD"/>
              </w:rPr>
            </w:pPr>
            <w:r w:rsidRPr="00423439">
              <w:rPr>
                <w:lang w:val="ro-MD"/>
              </w:rPr>
              <w:t>Art.l din Protocolul nr. 1.</w:t>
            </w:r>
          </w:p>
        </w:tc>
        <w:tc>
          <w:tcPr>
            <w:tcW w:w="709" w:type="dxa"/>
            <w:tcBorders>
              <w:top w:val="single" w:sz="12" w:space="0" w:color="auto"/>
            </w:tcBorders>
          </w:tcPr>
          <w:p w14:paraId="58E6C127" w14:textId="77777777" w:rsidR="004F223B" w:rsidRPr="00423439" w:rsidRDefault="004F223B" w:rsidP="00C542B4">
            <w:pPr>
              <w:spacing w:before="120" w:after="120"/>
              <w:jc w:val="center"/>
              <w:rPr>
                <w:lang w:val="ro-MD"/>
              </w:rPr>
            </w:pPr>
          </w:p>
        </w:tc>
        <w:tc>
          <w:tcPr>
            <w:tcW w:w="1276" w:type="dxa"/>
            <w:tcBorders>
              <w:top w:val="single" w:sz="12" w:space="0" w:color="auto"/>
            </w:tcBorders>
          </w:tcPr>
          <w:p w14:paraId="278CEB2F" w14:textId="2582AE7F" w:rsidR="004F223B" w:rsidRPr="00423439" w:rsidRDefault="0094587E" w:rsidP="00C542B4">
            <w:pPr>
              <w:spacing w:before="120" w:after="120"/>
              <w:jc w:val="center"/>
              <w:rPr>
                <w:lang w:val="ro-MD"/>
              </w:rPr>
            </w:pPr>
            <w:r w:rsidRPr="00423439">
              <w:rPr>
                <w:lang w:val="ro-MD"/>
              </w:rPr>
              <w:t xml:space="preserve">cetățenii străini rezidenți permanenți, </w:t>
            </w:r>
            <w:r w:rsidRPr="00423439">
              <w:rPr>
                <w:rFonts w:ascii="Arial" w:hAnsi="Arial" w:cs="Arial"/>
                <w:color w:val="000000"/>
                <w:shd w:val="clear" w:color="auto" w:fill="FFFFFF"/>
                <w:lang w:val="ro-MD"/>
              </w:rPr>
              <w:t xml:space="preserve"> </w:t>
            </w:r>
            <w:r w:rsidRPr="00423439">
              <w:rPr>
                <w:lang w:val="ro-MD"/>
              </w:rPr>
              <w:t>calcularea pensiilor,  fosta Uniune a Republicil</w:t>
            </w:r>
            <w:r w:rsidRPr="00423439">
              <w:rPr>
                <w:lang w:val="ro-MD"/>
              </w:rPr>
              <w:lastRenderedPageBreak/>
              <w:t>or Sovietice Socialiste („URSS”).</w:t>
            </w:r>
          </w:p>
        </w:tc>
        <w:tc>
          <w:tcPr>
            <w:tcW w:w="6095" w:type="dxa"/>
            <w:tcBorders>
              <w:top w:val="single" w:sz="12" w:space="0" w:color="auto"/>
            </w:tcBorders>
          </w:tcPr>
          <w:p w14:paraId="6C10C9BE" w14:textId="77777777" w:rsidR="004F223B" w:rsidRPr="00423439" w:rsidRDefault="003B5C09" w:rsidP="00C542B4">
            <w:pPr>
              <w:spacing w:before="120" w:after="120"/>
              <w:jc w:val="center"/>
              <w:rPr>
                <w:lang w:val="ro-MD"/>
              </w:rPr>
            </w:pPr>
            <w:r w:rsidRPr="00423439">
              <w:rPr>
                <w:lang w:val="ro-MD"/>
              </w:rPr>
              <w:lastRenderedPageBreak/>
              <w:t>120. </w:t>
            </w:r>
            <w:r w:rsidRPr="00607149">
              <w:rPr>
                <w:b/>
                <w:bCs/>
                <w:lang w:val="ro-MD"/>
              </w:rPr>
              <w:t>Curtea reiterează că articolul 14 din Convenție completează celelalte dispoziții substanțiale ale Convenției și ale Protocoalelor sale</w:t>
            </w:r>
            <w:r w:rsidRPr="00423439">
              <w:rPr>
                <w:lang w:val="ro-MD"/>
              </w:rPr>
              <w:t xml:space="preserve">. Acesta nu are o existență independentă, deoarece produce efecte exclusiv în ceea ce privește „exercitarea drepturilor și libertăților” protejate de acestea. Deși aplicarea articolului 14 nu presupune o încălcare a acestor dispoziții – și, în această măsură, este autonomă – aplicarea sa nu poate exista decât dacă faptele în cauză se încadrează în sfera de aplicare a uneia sau mai multora dintre ele. Interdicția discriminării </w:t>
            </w:r>
            <w:r w:rsidRPr="00423439">
              <w:rPr>
                <w:lang w:val="ro-MD"/>
              </w:rPr>
              <w:lastRenderedPageBreak/>
              <w:t>consacrată de articolul 14 se extinde, așadar, dincolo de exercitarea drepturilor și libertăților pe care Convenția și Protocoalele sale le impun fiecărui stat. </w:t>
            </w:r>
          </w:p>
          <w:p w14:paraId="11D67712" w14:textId="77777777" w:rsidR="003B5C09" w:rsidRPr="00423439" w:rsidRDefault="003B5C09" w:rsidP="00C542B4">
            <w:pPr>
              <w:spacing w:before="120" w:after="120"/>
              <w:jc w:val="center"/>
              <w:rPr>
                <w:lang w:val="ro-MD"/>
              </w:rPr>
            </w:pPr>
            <w:bookmarkStart w:id="1" w:name="paragraph00176"/>
            <w:r w:rsidRPr="00423439">
              <w:rPr>
                <w:lang w:val="ro-MD"/>
              </w:rPr>
              <w:t>180.</w:t>
            </w:r>
            <w:bookmarkEnd w:id="1"/>
            <w:r w:rsidRPr="00423439">
              <w:rPr>
                <w:lang w:val="ro-MD"/>
              </w:rPr>
              <w:t> </w:t>
            </w:r>
            <w:r w:rsidRPr="00607149">
              <w:rPr>
                <w:b/>
                <w:bCs/>
                <w:lang w:val="ro-MD"/>
              </w:rPr>
              <w:t>Curtea reiterează de la bun început că articolul 1 din Protocolul nr. 1 nu garantează , ca atare, niciun drept la o pensie de un anumit cuantum, niciun drept la pensie pentru activități desfășurate într-un stat altul decât statul pârât și, de fapt, niciun drept la pensie.</w:t>
            </w:r>
            <w:r w:rsidRPr="00423439">
              <w:rPr>
                <w:lang w:val="ro-MD"/>
              </w:rPr>
              <w:t xml:space="preserve"> Cu toate acestea, dacă un stat decide să creeze un sistem de pensii, trebuie să o facă într-un mod compatibil cu articolul 14 din Convenție.</w:t>
            </w:r>
          </w:p>
          <w:p w14:paraId="5C16CD4F" w14:textId="77777777" w:rsidR="003B5C09" w:rsidRPr="00423439" w:rsidRDefault="003B5C09" w:rsidP="00C542B4">
            <w:pPr>
              <w:spacing w:before="120" w:after="120"/>
              <w:jc w:val="center"/>
              <w:rPr>
                <w:lang w:val="ro-MD"/>
              </w:rPr>
            </w:pPr>
            <w:bookmarkStart w:id="2" w:name="_Hlk97823865"/>
            <w:r w:rsidRPr="00423439">
              <w:rPr>
                <w:lang w:val="ro-MD"/>
              </w:rPr>
              <w:t xml:space="preserve">214. Curtea observă, în primul rând, că motivul diferenței de tratament contestate, introdus în dispozițiile tranzitorii ale sistemului de pensii ocupaționale instituit de legiuitorul leton, este direct legat de obiectivul principal invocat de Curtea Constituțională letonă (a se vedea paragraful 196 de mai sus). </w:t>
            </w:r>
            <w:r w:rsidRPr="00607149">
              <w:rPr>
                <w:b/>
                <w:bCs/>
                <w:lang w:val="ro-MD"/>
              </w:rPr>
              <w:t>Tratamentul preferențial acordat celor care posedă cetățenia letonă în ceea ce privește perioadele de angajare anterioare efectuate în afara Letoniei este, așadar, în conformitate cu acest obiectiv legitim. </w:t>
            </w:r>
            <w:bookmarkEnd w:id="2"/>
          </w:p>
          <w:p w14:paraId="642720C5" w14:textId="43CDB2BB" w:rsidR="003B5C09" w:rsidRPr="00423439" w:rsidRDefault="003B5C09" w:rsidP="00C542B4">
            <w:pPr>
              <w:spacing w:before="120" w:after="120"/>
              <w:jc w:val="center"/>
              <w:rPr>
                <w:lang w:val="ro-MD"/>
              </w:rPr>
            </w:pPr>
            <w:r w:rsidRPr="00423439">
              <w:rPr>
                <w:lang w:val="ro-MD"/>
              </w:rPr>
              <w:t xml:space="preserve">218. [..] Astfel, stabilirea domeniului de aplicare al perioadelor de angajare eligibile avea inevitabil un impact asupra nivelului prestațiilor și a contribuțiilor necesare pentru finanțarea acestora. Curtea consideră că aceste tipuri </w:t>
            </w:r>
            <w:r w:rsidRPr="00423439">
              <w:rPr>
                <w:lang w:val="ro-MD"/>
              </w:rPr>
              <w:lastRenderedPageBreak/>
              <w:t>de compromisuri în sistemele de asistență socială necesită, în general, o marjă largă de apreciere. Având în vedere dificultățile specifice și alegerile politice complexe cu care se confruntă autoritățile letone după restabilirea independenței, Curtea nu poate decât să recunoască, în evaluarea sa generală, un grad substanțial de deferență care trebuie acordat Guvernului.</w:t>
            </w:r>
          </w:p>
        </w:tc>
        <w:tc>
          <w:tcPr>
            <w:tcW w:w="4111" w:type="dxa"/>
            <w:tcBorders>
              <w:top w:val="single" w:sz="12" w:space="0" w:color="auto"/>
              <w:right w:val="single" w:sz="12" w:space="0" w:color="auto"/>
            </w:tcBorders>
          </w:tcPr>
          <w:p w14:paraId="4C211655" w14:textId="479E5E0D" w:rsidR="004F223B" w:rsidRPr="00423439" w:rsidRDefault="003B5C09" w:rsidP="00C542B4">
            <w:pPr>
              <w:spacing w:before="120" w:line="276" w:lineRule="auto"/>
              <w:jc w:val="center"/>
              <w:rPr>
                <w:lang w:val="ro-MD"/>
              </w:rPr>
            </w:pPr>
            <w:r w:rsidRPr="00423439">
              <w:rPr>
                <w:lang w:val="ro-MD"/>
              </w:rPr>
              <w:lastRenderedPageBreak/>
              <w:t xml:space="preserve">Nu a existat nicio încălcare a articolului 14 din Convenție coroborat cu articolul 1 din Protocolul nr. 1. </w:t>
            </w:r>
            <w:r w:rsidRPr="00423439">
              <w:rPr>
                <w:rFonts w:ascii="Arial" w:hAnsi="Arial" w:cs="Arial"/>
                <w:color w:val="000000"/>
                <w:shd w:val="clear" w:color="auto" w:fill="FFFFFF"/>
                <w:lang w:val="ro-MD"/>
              </w:rPr>
              <w:t xml:space="preserve"> </w:t>
            </w:r>
            <w:r w:rsidRPr="00423439">
              <w:rPr>
                <w:lang w:val="ro-MD"/>
              </w:rPr>
              <w:t>Curtea consideră că, în circumstanțele specifice ale prezentei cauze, statul pârât nu și-a depășit marja de apreciere în ceea ce-i privește pe reclamanți.</w:t>
            </w:r>
          </w:p>
        </w:tc>
      </w:tr>
      <w:tr w:rsidR="007E0FEB" w:rsidRPr="00423439" w14:paraId="5BA0B36A" w14:textId="77777777" w:rsidTr="00C542B4">
        <w:trPr>
          <w:trHeight w:val="2160"/>
        </w:trPr>
        <w:tc>
          <w:tcPr>
            <w:tcW w:w="557" w:type="dxa"/>
            <w:tcBorders>
              <w:top w:val="single" w:sz="12" w:space="0" w:color="auto"/>
              <w:left w:val="single" w:sz="12" w:space="0" w:color="auto"/>
            </w:tcBorders>
          </w:tcPr>
          <w:p w14:paraId="240C6FD5" w14:textId="24D9E1DA" w:rsidR="007E0FEB" w:rsidRPr="00423439" w:rsidRDefault="007E0FEB" w:rsidP="00C542B4">
            <w:pPr>
              <w:spacing w:before="120" w:after="120"/>
              <w:jc w:val="center"/>
              <w:rPr>
                <w:b/>
                <w:bCs/>
                <w:lang w:val="ro-MD"/>
              </w:rPr>
            </w:pPr>
            <w:r w:rsidRPr="00423439">
              <w:rPr>
                <w:b/>
                <w:bCs/>
                <w:lang w:val="ro-MD"/>
              </w:rPr>
              <w:lastRenderedPageBreak/>
              <w:t>5)</w:t>
            </w:r>
          </w:p>
        </w:tc>
        <w:tc>
          <w:tcPr>
            <w:tcW w:w="1413" w:type="dxa"/>
            <w:tcBorders>
              <w:top w:val="single" w:sz="12" w:space="0" w:color="auto"/>
            </w:tcBorders>
          </w:tcPr>
          <w:p w14:paraId="52EB8DF3" w14:textId="77777777" w:rsidR="007E0FEB" w:rsidRPr="00423439" w:rsidRDefault="007E0FEB" w:rsidP="00C542B4">
            <w:pPr>
              <w:spacing w:before="120" w:after="120"/>
              <w:jc w:val="center"/>
              <w:rPr>
                <w:b/>
                <w:bCs/>
                <w:lang w:val="ro-MD"/>
              </w:rPr>
            </w:pPr>
            <w:r w:rsidRPr="00423439">
              <w:rPr>
                <w:b/>
                <w:bCs/>
                <w:lang w:val="ro-MD"/>
              </w:rPr>
              <w:t>Verein KlimaSeniorinnen Schweiz and Others</w:t>
            </w:r>
          </w:p>
          <w:p w14:paraId="31B18EA7" w14:textId="77777777" w:rsidR="007E0FEB" w:rsidRPr="00423439" w:rsidRDefault="007E0FEB" w:rsidP="00C542B4">
            <w:pPr>
              <w:spacing w:before="120" w:after="120"/>
              <w:jc w:val="center"/>
              <w:rPr>
                <w:lang w:val="ro-MD"/>
              </w:rPr>
            </w:pPr>
            <w:r w:rsidRPr="00423439">
              <w:rPr>
                <w:b/>
                <w:bCs/>
                <w:lang w:val="ro-MD"/>
              </w:rPr>
              <w:t xml:space="preserve">v. Elveția </w:t>
            </w:r>
            <w:r w:rsidRPr="00423439">
              <w:rPr>
                <w:i/>
                <w:iCs/>
                <w:lang w:val="ro-MD"/>
              </w:rPr>
              <w:t xml:space="preserve">(Cererea nr. </w:t>
            </w:r>
            <w:hyperlink r:id="rId12" w:history="1">
              <w:r w:rsidRPr="00423439">
                <w:rPr>
                  <w:rStyle w:val="af4"/>
                  <w:i/>
                  <w:iCs/>
                  <w:lang w:val="ro-MD"/>
                </w:rPr>
                <w:t>53600/20</w:t>
              </w:r>
            </w:hyperlink>
            <w:r w:rsidRPr="00423439">
              <w:rPr>
                <w:i/>
                <w:iCs/>
                <w:lang w:val="ro-MD"/>
              </w:rPr>
              <w:t>)</w:t>
            </w:r>
          </w:p>
          <w:p w14:paraId="0C2B1094" w14:textId="03BA5B50" w:rsidR="007E0FEB" w:rsidRPr="00423439" w:rsidRDefault="007E0FEB" w:rsidP="00C542B4">
            <w:pPr>
              <w:spacing w:before="120" w:after="120"/>
              <w:jc w:val="center"/>
              <w:rPr>
                <w:b/>
                <w:bCs/>
                <w:lang w:val="ro-MD"/>
              </w:rPr>
            </w:pPr>
            <w:r w:rsidRPr="00423439">
              <w:rPr>
                <w:b/>
                <w:bCs/>
                <w:lang w:val="ro-MD"/>
              </w:rPr>
              <w:t>9 Aprilie 2024</w:t>
            </w:r>
          </w:p>
        </w:tc>
        <w:tc>
          <w:tcPr>
            <w:tcW w:w="992" w:type="dxa"/>
            <w:tcBorders>
              <w:top w:val="single" w:sz="12" w:space="0" w:color="auto"/>
            </w:tcBorders>
          </w:tcPr>
          <w:p w14:paraId="6B27BB34" w14:textId="03DF6CA3" w:rsidR="007E0FEB" w:rsidRPr="00423439" w:rsidRDefault="007E0FEB" w:rsidP="00C542B4">
            <w:pPr>
              <w:spacing w:before="120" w:after="120"/>
              <w:jc w:val="center"/>
              <w:rPr>
                <w:lang w:val="ro-MD"/>
              </w:rPr>
            </w:pPr>
            <w:r w:rsidRPr="00423439">
              <w:rPr>
                <w:lang w:val="ro-MD"/>
              </w:rPr>
              <w:t>MC</w:t>
            </w:r>
          </w:p>
        </w:tc>
        <w:tc>
          <w:tcPr>
            <w:tcW w:w="992" w:type="dxa"/>
            <w:tcBorders>
              <w:top w:val="single" w:sz="12" w:space="0" w:color="auto"/>
            </w:tcBorders>
          </w:tcPr>
          <w:p w14:paraId="2D576289" w14:textId="77777777" w:rsidR="007E0FEB" w:rsidRPr="00423439" w:rsidRDefault="007E0FEB" w:rsidP="00C542B4">
            <w:pPr>
              <w:spacing w:before="120" w:after="120"/>
              <w:jc w:val="center"/>
              <w:rPr>
                <w:lang w:val="ro-MD"/>
              </w:rPr>
            </w:pPr>
            <w:r w:rsidRPr="00423439">
              <w:rPr>
                <w:lang w:val="ro-MD"/>
              </w:rPr>
              <w:t>6 § 1</w:t>
            </w:r>
          </w:p>
          <w:p w14:paraId="0C6BF9E4" w14:textId="77777777" w:rsidR="007E0FEB" w:rsidRPr="00423439" w:rsidRDefault="007E0FEB" w:rsidP="00C542B4">
            <w:pPr>
              <w:spacing w:before="120" w:after="120"/>
              <w:jc w:val="center"/>
              <w:rPr>
                <w:lang w:val="ro-MD"/>
              </w:rPr>
            </w:pPr>
            <w:r w:rsidRPr="00423439">
              <w:rPr>
                <w:lang w:val="ro-MD"/>
              </w:rPr>
              <w:t>8</w:t>
            </w:r>
          </w:p>
          <w:p w14:paraId="6E45B7FE" w14:textId="77777777" w:rsidR="007E0FEB" w:rsidRPr="00423439" w:rsidRDefault="007E0FEB" w:rsidP="00C542B4">
            <w:pPr>
              <w:spacing w:before="120" w:after="120"/>
              <w:jc w:val="center"/>
              <w:rPr>
                <w:lang w:val="ro-MD"/>
              </w:rPr>
            </w:pPr>
          </w:p>
        </w:tc>
        <w:tc>
          <w:tcPr>
            <w:tcW w:w="709" w:type="dxa"/>
            <w:tcBorders>
              <w:top w:val="single" w:sz="12" w:space="0" w:color="auto"/>
            </w:tcBorders>
          </w:tcPr>
          <w:p w14:paraId="03B08017" w14:textId="38EB3FD4" w:rsidR="007E0FEB" w:rsidRPr="00423439" w:rsidRDefault="007E0FEB" w:rsidP="00C542B4">
            <w:pPr>
              <w:spacing w:before="120" w:after="120"/>
              <w:jc w:val="center"/>
              <w:rPr>
                <w:lang w:val="ro-MD"/>
              </w:rPr>
            </w:pPr>
            <w:r w:rsidRPr="00423439">
              <w:rPr>
                <w:lang w:val="ro-MD"/>
              </w:rPr>
              <w:t>-</w:t>
            </w:r>
            <w:r w:rsidRPr="00423439">
              <w:rPr>
                <w:rStyle w:val="af3"/>
                <w:lang w:val="ro-MD"/>
              </w:rPr>
              <w:footnoteReference w:id="1"/>
            </w:r>
          </w:p>
        </w:tc>
        <w:tc>
          <w:tcPr>
            <w:tcW w:w="1276" w:type="dxa"/>
            <w:tcBorders>
              <w:top w:val="single" w:sz="12" w:space="0" w:color="auto"/>
            </w:tcBorders>
          </w:tcPr>
          <w:p w14:paraId="252EACBA" w14:textId="7659BF65" w:rsidR="007E0FEB" w:rsidRPr="00423439" w:rsidRDefault="007E0FEB" w:rsidP="00C542B4">
            <w:pPr>
              <w:spacing w:before="120" w:after="120"/>
              <w:jc w:val="center"/>
              <w:rPr>
                <w:lang w:val="ro-MD"/>
              </w:rPr>
            </w:pPr>
            <w:r w:rsidRPr="00423439">
              <w:rPr>
                <w:lang w:val="ro-MD"/>
              </w:rPr>
              <w:t>Schimbări climatice, obligații, Acordul de la Paris,</w:t>
            </w:r>
          </w:p>
        </w:tc>
        <w:tc>
          <w:tcPr>
            <w:tcW w:w="6095" w:type="dxa"/>
            <w:tcBorders>
              <w:top w:val="single" w:sz="12" w:space="0" w:color="auto"/>
            </w:tcBorders>
          </w:tcPr>
          <w:p w14:paraId="6C10812C" w14:textId="77777777" w:rsidR="007E0FEB" w:rsidRPr="00423439" w:rsidRDefault="007E0FEB" w:rsidP="00C542B4">
            <w:pPr>
              <w:spacing w:before="120" w:after="120"/>
              <w:jc w:val="center"/>
              <w:rPr>
                <w:lang w:val="ro-MD"/>
              </w:rPr>
            </w:pPr>
            <w:r w:rsidRPr="00423439">
              <w:rPr>
                <w:lang w:val="ro-MD"/>
              </w:rPr>
              <w:t>Curtea a început prin a menționa că poate trata problemele generate de schimbările climatice numai în limitele competenței sale, în conformitate cu articolul 19 (Înființarea Curții) din Convenție, care are rolul de a asigura respectarea angajamentelor asumate de părțile contractante. Părților contractante la Convenție și la protocoalele sale. În același timp, Curtea a ținut seama de faptul că măsurile inadecvate luate de stat pentru combaterea schimbărilor climatice au exacerbat riscurile de consecințe dăunătoare și amenințările ulterioare la adresa exercitării drepturilor omului – amenințări deja recunoscute de guvernele din întreaga lume.</w:t>
            </w:r>
            <w:r w:rsidRPr="00423439">
              <w:rPr>
                <w:lang w:val="ro-MD"/>
              </w:rPr>
              <w:br/>
            </w:r>
            <w:r w:rsidRPr="00423439">
              <w:rPr>
                <w:lang w:val="ro-MD"/>
              </w:rPr>
              <w:br/>
              <w:t xml:space="preserve">În ceea ce privește plângerea asociației reclamante în legătură cu Elveția, Curtea a constatat că au existat lacune critice în procesul de punere în aplicare a cadrului de reglementare intern relevant, inclusiv eșecul autorităților </w:t>
            </w:r>
            <w:r w:rsidRPr="00423439">
              <w:rPr>
                <w:lang w:val="ro-MD"/>
              </w:rPr>
              <w:lastRenderedPageBreak/>
              <w:t xml:space="preserve">elvețiene de a cuantifica, prin intermediul unui buget de carbon sau în alt mod, limitările naționale ale emisiilor de gaze cu efect de seră (GES). În plus, </w:t>
            </w:r>
            <w:r w:rsidRPr="00607149">
              <w:rPr>
                <w:b/>
                <w:bCs/>
                <w:lang w:val="ro-MD"/>
              </w:rPr>
              <w:t>Curtea a observat că Elveția nu și-a îndeplinit în trecut obiectivele de reducere a emisiilor de GES</w:t>
            </w:r>
            <w:r w:rsidRPr="00423439">
              <w:rPr>
                <w:lang w:val="ro-MD"/>
              </w:rPr>
              <w:t>. Autoritățile elvețiene nu au acționat la timp și în mod adecvat pentru a elabora și pune în aplicare legislația și măsurile relevante în conformitate cu obligațiile lor pozitive în temeiul articolului 8 din Convenție, care erau relevante în contextul schimbărilor climatice.</w:t>
            </w:r>
            <w:r w:rsidRPr="00423439">
              <w:rPr>
                <w:lang w:val="ro-MD"/>
              </w:rPr>
              <w:br/>
            </w:r>
            <w:r w:rsidRPr="00423439">
              <w:rPr>
                <w:lang w:val="ro-MD"/>
              </w:rPr>
              <w:br/>
              <w:t xml:space="preserve">581.  Reclamanții au susținut, de asemenea, că instanțele naționale au aplicat în mod disproporționat cerințele privind calitatea procesuală activă, având în vedere obligația acestora de a lua în considerare natura drepturilor în cauză și faptul că, pe baza interpretării lor a cerințelor privind calitatea procesuală activă, acțiunile și omisiunile statului în combaterea schimbărilor climatice ar rămâne în totalitate în afara domeniului de aplicare al legislației privind drepturile omului. </w:t>
            </w:r>
            <w:r w:rsidRPr="00423439">
              <w:rPr>
                <w:b/>
                <w:bCs/>
                <w:lang w:val="ro-MD"/>
              </w:rPr>
              <w:t xml:space="preserve">Aceasta ar fi o consecință inacceptabilă, având în vedere amploarea amenințării reprezentate de schimbările climatice și practica în cauze similare din domeniul dreptului mediului. </w:t>
            </w:r>
            <w:r w:rsidRPr="00423439">
              <w:rPr>
                <w:lang w:val="ro-MD"/>
              </w:rPr>
              <w:t>În plus, aplicarea arbitrară a cerințelor privind calitatea procesuală activă de către instanțele naționale era incompatibilă cu angajamentele asumate de statul pârât în temeiul Convenției de la Aarhus.</w:t>
            </w:r>
          </w:p>
          <w:p w14:paraId="0AA52228" w14:textId="50385C03" w:rsidR="007E0FEB" w:rsidRPr="00423439" w:rsidRDefault="007E0FEB" w:rsidP="00C542B4">
            <w:pPr>
              <w:spacing w:before="120" w:after="120"/>
              <w:jc w:val="center"/>
              <w:rPr>
                <w:lang w:val="ro-MD"/>
              </w:rPr>
            </w:pPr>
            <w:r w:rsidRPr="00423439">
              <w:rPr>
                <w:lang w:val="ro-MD"/>
              </w:rPr>
              <w:lastRenderedPageBreak/>
              <w:t>Curtea a constatat că instanțele naționale nu au furnizat motive convingătoare pentru care au considerat că nu era necesar să examineze fondul plângerilor. Acestea nu au luat în considerare dovezile științifice convingătoare privind schimbările climatice și nu au tratat cu seriozitate plângerile asociației. Întrucât nu existau alte căi de atac sau garanții juridice la dispoziția asociației reclamante sau a reclamanților individuali/membrilor asociației, Curtea a constatat că a existat o încălcare a articolului 6 alineatul (1) din Convenție.</w:t>
            </w:r>
          </w:p>
        </w:tc>
        <w:tc>
          <w:tcPr>
            <w:tcW w:w="4111" w:type="dxa"/>
            <w:tcBorders>
              <w:top w:val="single" w:sz="12" w:space="0" w:color="auto"/>
              <w:right w:val="single" w:sz="12" w:space="0" w:color="auto"/>
            </w:tcBorders>
          </w:tcPr>
          <w:p w14:paraId="1D2EAFA4" w14:textId="77777777" w:rsidR="007E0FEB" w:rsidRPr="00423439" w:rsidRDefault="007E0FEB" w:rsidP="00C542B4">
            <w:pPr>
              <w:spacing w:before="120" w:after="120"/>
              <w:jc w:val="center"/>
              <w:rPr>
                <w:lang w:val="ro-MD"/>
              </w:rPr>
            </w:pPr>
            <w:r w:rsidRPr="00423439">
              <w:rPr>
                <w:lang w:val="ro-MD"/>
              </w:rPr>
              <w:lastRenderedPageBreak/>
              <w:t>Curtea a hotărât că Elveția trebuie să plătească asociației reclamante 80 000 de euro (EUR) cu titlu de cheltuieli și onorarii. Întrucât nu s-a formulat nicio cerere de despăgubiri, nu s-a acordat nicio sumă în acest sens.</w:t>
            </w:r>
          </w:p>
          <w:p w14:paraId="7C1C100D" w14:textId="77777777" w:rsidR="007E0FEB" w:rsidRPr="00423439" w:rsidRDefault="007E0FEB" w:rsidP="00C542B4">
            <w:pPr>
              <w:spacing w:before="120" w:line="276" w:lineRule="auto"/>
              <w:jc w:val="center"/>
              <w:rPr>
                <w:lang w:val="ro-MD"/>
              </w:rPr>
            </w:pPr>
          </w:p>
        </w:tc>
      </w:tr>
      <w:tr w:rsidR="002D3EA6" w:rsidRPr="00423439" w14:paraId="33B366B8" w14:textId="77777777" w:rsidTr="00C542B4">
        <w:trPr>
          <w:trHeight w:val="2160"/>
        </w:trPr>
        <w:tc>
          <w:tcPr>
            <w:tcW w:w="16145" w:type="dxa"/>
            <w:gridSpan w:val="8"/>
            <w:tcBorders>
              <w:top w:val="single" w:sz="12" w:space="0" w:color="auto"/>
              <w:left w:val="single" w:sz="12" w:space="0" w:color="auto"/>
              <w:right w:val="single" w:sz="12" w:space="0" w:color="auto"/>
            </w:tcBorders>
          </w:tcPr>
          <w:p w14:paraId="254DC60B" w14:textId="36AA867F" w:rsidR="002D3EA6" w:rsidRPr="00423439" w:rsidRDefault="002D3EA6" w:rsidP="00C542B4">
            <w:pPr>
              <w:spacing w:before="120" w:line="276" w:lineRule="auto"/>
              <w:jc w:val="center"/>
              <w:rPr>
                <w:lang w:val="ro-MD"/>
              </w:rPr>
            </w:pPr>
            <w:r w:rsidRPr="00423439">
              <w:rPr>
                <w:b/>
                <w:bCs/>
                <w:lang w:val="ro-MD"/>
              </w:rPr>
              <w:lastRenderedPageBreak/>
              <w:t>Motivul includerii:</w:t>
            </w:r>
            <w:r w:rsidRPr="00423439">
              <w:rPr>
                <w:lang w:val="ro-MD"/>
              </w:rPr>
              <w:t xml:space="preserve"> Această cauză de rezonanță este prima care îmi vine în cap când mă gândesc la schimbări climatice și la faptul că, în final, Curtea nu a ținut cont de presiunile politice pentru a spune lucrurilor pe nume. În special, apreciez reiterarea obligațiilor statelor conform Acordului de la Paris și situația încălzirii globale și a schimbărilor climatice fiind una reală și catastrofică.</w:t>
            </w:r>
            <w:r w:rsidRPr="00423439">
              <w:rPr>
                <w:lang w:val="ro-MD"/>
              </w:rPr>
              <w:br/>
            </w:r>
            <w:r w:rsidRPr="00423439">
              <w:rPr>
                <w:lang w:val="ro-MD"/>
              </w:rPr>
              <w:br/>
              <w:t>Recunosc, trebuie să studiez profund și extensiv cauza, dar nu am putut ezita în a o include.</w:t>
            </w:r>
          </w:p>
        </w:tc>
      </w:tr>
      <w:tr w:rsidR="004F223B" w:rsidRPr="00423439" w14:paraId="2D85DE34" w14:textId="77777777" w:rsidTr="00C542B4">
        <w:trPr>
          <w:trHeight w:val="2160"/>
        </w:trPr>
        <w:tc>
          <w:tcPr>
            <w:tcW w:w="557" w:type="dxa"/>
            <w:tcBorders>
              <w:top w:val="single" w:sz="12" w:space="0" w:color="auto"/>
              <w:left w:val="single" w:sz="12" w:space="0" w:color="auto"/>
            </w:tcBorders>
          </w:tcPr>
          <w:p w14:paraId="7FA425CC" w14:textId="637BDC59" w:rsidR="004F223B" w:rsidRPr="00423439" w:rsidRDefault="004F223B" w:rsidP="00C542B4">
            <w:pPr>
              <w:spacing w:before="120" w:after="120"/>
              <w:jc w:val="center"/>
              <w:rPr>
                <w:b/>
                <w:bCs/>
                <w:lang w:val="ro-MD"/>
              </w:rPr>
            </w:pPr>
            <w:r w:rsidRPr="00423439">
              <w:rPr>
                <w:b/>
                <w:bCs/>
                <w:lang w:val="ro-MD"/>
              </w:rPr>
              <w:t>6)</w:t>
            </w:r>
          </w:p>
        </w:tc>
        <w:tc>
          <w:tcPr>
            <w:tcW w:w="1413" w:type="dxa"/>
            <w:tcBorders>
              <w:top w:val="single" w:sz="12" w:space="0" w:color="auto"/>
            </w:tcBorders>
          </w:tcPr>
          <w:p w14:paraId="542692CE" w14:textId="3AA5B105" w:rsidR="001B27A9" w:rsidRPr="00423439" w:rsidRDefault="001B27A9" w:rsidP="00C542B4">
            <w:pPr>
              <w:spacing w:before="120" w:after="120"/>
              <w:jc w:val="center"/>
              <w:rPr>
                <w:b/>
                <w:bCs/>
                <w:lang w:val="ro-MD"/>
              </w:rPr>
            </w:pPr>
            <w:r w:rsidRPr="00423439">
              <w:rPr>
                <w:b/>
                <w:bCs/>
                <w:lang w:val="ro-MD"/>
              </w:rPr>
              <w:t>Prigală c. Republicii Moldova</w:t>
            </w:r>
          </w:p>
          <w:p w14:paraId="66DAC9A4" w14:textId="77777777" w:rsidR="001B27A9" w:rsidRPr="00423439" w:rsidRDefault="001B27A9" w:rsidP="00C542B4">
            <w:pPr>
              <w:spacing w:before="120" w:after="120"/>
              <w:jc w:val="center"/>
              <w:rPr>
                <w:b/>
                <w:bCs/>
                <w:lang w:val="ro-MD"/>
              </w:rPr>
            </w:pPr>
          </w:p>
          <w:p w14:paraId="5FA34E75" w14:textId="5F068765" w:rsidR="004F223B" w:rsidRPr="00423439" w:rsidRDefault="001B27A9" w:rsidP="00C542B4">
            <w:pPr>
              <w:spacing w:before="120" w:after="120"/>
              <w:jc w:val="center"/>
              <w:rPr>
                <w:b/>
                <w:bCs/>
                <w:lang w:val="ro-MD"/>
              </w:rPr>
            </w:pPr>
            <w:r w:rsidRPr="00423439">
              <w:rPr>
                <w:b/>
                <w:bCs/>
                <w:lang w:val="ro-MD"/>
              </w:rPr>
              <w:t>(</w:t>
            </w:r>
            <w:r w:rsidRPr="00607149">
              <w:rPr>
                <w:i/>
                <w:iCs/>
                <w:lang w:val="ro-MD"/>
              </w:rPr>
              <w:t xml:space="preserve">Cererea nr. </w:t>
            </w:r>
            <w:hyperlink r:id="rId13" w:history="1">
              <w:r w:rsidRPr="00607149">
                <w:rPr>
                  <w:rStyle w:val="af4"/>
                  <w:lang w:val="ro-MD"/>
                </w:rPr>
                <w:t>14426/12</w:t>
              </w:r>
            </w:hyperlink>
            <w:r w:rsidRPr="00423439">
              <w:rPr>
                <w:b/>
                <w:bCs/>
                <w:lang w:val="ro-MD"/>
              </w:rPr>
              <w:t>)</w:t>
            </w:r>
          </w:p>
          <w:p w14:paraId="574B02B6" w14:textId="55812663" w:rsidR="001B27A9" w:rsidRPr="00423439" w:rsidRDefault="001B27A9" w:rsidP="00C542B4">
            <w:pPr>
              <w:spacing w:before="120" w:after="120"/>
              <w:jc w:val="center"/>
              <w:rPr>
                <w:b/>
                <w:bCs/>
                <w:lang w:val="ro-MD"/>
              </w:rPr>
            </w:pPr>
            <w:r w:rsidRPr="00423439">
              <w:rPr>
                <w:b/>
                <w:bCs/>
                <w:lang w:val="ro-MD"/>
              </w:rPr>
              <w:lastRenderedPageBreak/>
              <w:t>13 Decembrie 2022</w:t>
            </w:r>
          </w:p>
        </w:tc>
        <w:tc>
          <w:tcPr>
            <w:tcW w:w="992" w:type="dxa"/>
            <w:tcBorders>
              <w:top w:val="single" w:sz="12" w:space="0" w:color="auto"/>
            </w:tcBorders>
          </w:tcPr>
          <w:p w14:paraId="73B3E6D7" w14:textId="07ABB3C8" w:rsidR="004F223B" w:rsidRPr="00423439" w:rsidRDefault="004F223B" w:rsidP="00C542B4">
            <w:pPr>
              <w:spacing w:before="120" w:after="120"/>
              <w:jc w:val="center"/>
              <w:rPr>
                <w:lang w:val="ro-MD"/>
              </w:rPr>
            </w:pPr>
            <w:r w:rsidRPr="00423439">
              <w:rPr>
                <w:lang w:val="ro-MD"/>
              </w:rPr>
              <w:lastRenderedPageBreak/>
              <w:t>c. MD</w:t>
            </w:r>
          </w:p>
        </w:tc>
        <w:tc>
          <w:tcPr>
            <w:tcW w:w="992" w:type="dxa"/>
            <w:tcBorders>
              <w:top w:val="single" w:sz="12" w:space="0" w:color="auto"/>
            </w:tcBorders>
          </w:tcPr>
          <w:p w14:paraId="57ABC76E" w14:textId="35317ABC" w:rsidR="004F223B" w:rsidRPr="00423439" w:rsidRDefault="003B5C09" w:rsidP="00C542B4">
            <w:pPr>
              <w:spacing w:before="120" w:after="120"/>
              <w:jc w:val="center"/>
              <w:rPr>
                <w:lang w:val="ro-MD"/>
              </w:rPr>
            </w:pPr>
            <w:r w:rsidRPr="00423439">
              <w:rPr>
                <w:lang w:val="ro-MD"/>
              </w:rPr>
              <w:t>Art. 4 Protocolul nr. 7</w:t>
            </w:r>
          </w:p>
        </w:tc>
        <w:tc>
          <w:tcPr>
            <w:tcW w:w="709" w:type="dxa"/>
            <w:tcBorders>
              <w:top w:val="single" w:sz="12" w:space="0" w:color="auto"/>
            </w:tcBorders>
          </w:tcPr>
          <w:p w14:paraId="740EB494" w14:textId="02FE0C23" w:rsidR="004F223B" w:rsidRPr="00423439" w:rsidRDefault="001B27A9" w:rsidP="00C542B4">
            <w:pPr>
              <w:spacing w:before="120" w:after="120"/>
              <w:jc w:val="center"/>
              <w:rPr>
                <w:lang w:val="ro-MD"/>
              </w:rPr>
            </w:pPr>
            <w:r w:rsidRPr="00423439">
              <w:rPr>
                <w:lang w:val="ro-MD"/>
              </w:rPr>
              <w:t>206</w:t>
            </w:r>
            <w:r w:rsidRPr="00423439">
              <w:rPr>
                <w:rStyle w:val="af3"/>
                <w:lang w:val="ro-MD"/>
              </w:rPr>
              <w:footnoteReference w:id="2"/>
            </w:r>
          </w:p>
        </w:tc>
        <w:tc>
          <w:tcPr>
            <w:tcW w:w="1276" w:type="dxa"/>
            <w:tcBorders>
              <w:top w:val="single" w:sz="12" w:space="0" w:color="auto"/>
            </w:tcBorders>
          </w:tcPr>
          <w:p w14:paraId="73328800" w14:textId="2BD685D1" w:rsidR="004F223B" w:rsidRPr="00423439" w:rsidRDefault="001B27A9" w:rsidP="00C542B4">
            <w:pPr>
              <w:spacing w:before="120" w:after="120"/>
              <w:jc w:val="center"/>
              <w:rPr>
                <w:lang w:val="ro-MD"/>
              </w:rPr>
            </w:pPr>
            <w:r w:rsidRPr="00423439">
              <w:rPr>
                <w:lang w:val="ro-MD"/>
              </w:rPr>
              <w:t xml:space="preserve">Notar, control fiscal, contribuții de asigurări sociale, amenzi, </w:t>
            </w:r>
            <w:r w:rsidRPr="00423439">
              <w:rPr>
                <w:lang w:val="ro-MD"/>
              </w:rPr>
              <w:lastRenderedPageBreak/>
              <w:t>penalități de întârziere, suma totală a sancțiunii fiscale de 48.000 euro, onorariu net/onorariu brut, legislație ambiguă, sancțiune cu caracter penal, amnistie fiscal</w:t>
            </w:r>
          </w:p>
        </w:tc>
        <w:tc>
          <w:tcPr>
            <w:tcW w:w="6095" w:type="dxa"/>
            <w:tcBorders>
              <w:top w:val="single" w:sz="12" w:space="0" w:color="auto"/>
            </w:tcBorders>
          </w:tcPr>
          <w:p w14:paraId="74985A1D" w14:textId="32FF1FFD" w:rsidR="004F223B" w:rsidRPr="00423439" w:rsidRDefault="001B27A9" w:rsidP="00C542B4">
            <w:pPr>
              <w:spacing w:before="120" w:after="120"/>
              <w:jc w:val="center"/>
              <w:rPr>
                <w:lang w:val="ro-MD"/>
              </w:rPr>
            </w:pPr>
            <w:r w:rsidRPr="00423439">
              <w:rPr>
                <w:lang w:val="ro-MD"/>
              </w:rPr>
              <w:lastRenderedPageBreak/>
              <w:t xml:space="preserve">Curtea urmează să stabilească dacă reclamantul a fost sancționat pentru o „infracțiune” în sensul articolului 7 din Convenție. Ea reamintește că criteriile definite în cauza Engel și alții v. Olanda (8 iunie 1976, § 82), pentru a determina aplicabilitatea articolului 6 din Convenție sub „aspect penal”, sunt de asemenea relevante pentru a decide problema aplicabilității articolului 7. În acest caz, amenda și penalitățile de întârziere impuse reclamantului pot fi </w:t>
            </w:r>
            <w:r w:rsidRPr="00423439">
              <w:rPr>
                <w:lang w:val="ro-MD"/>
              </w:rPr>
              <w:lastRenderedPageBreak/>
              <w:t>considerate ca fiind bazate pe prevederile legale generale aplicabile tuturor contribuabililor. În plus,</w:t>
            </w:r>
            <w:r w:rsidRPr="00607149">
              <w:rPr>
                <w:b/>
                <w:bCs/>
                <w:lang w:val="ro-MD"/>
              </w:rPr>
              <w:t xml:space="preserve"> amenda și penalitățile de întârziere în cauză nu au urmărit scopul despăgubirii pentru prejudiciul material cauzat, ci au vizat, în esență, atragerea la răspundere pentru evitarea repetării acțiunilor contestate. Prin urmare, acestea s-au bazat pe un standard care urmărește atât un scop preventiv, cât și unul represiv.</w:t>
            </w:r>
            <w:r w:rsidRPr="00423439">
              <w:rPr>
                <w:lang w:val="ro-MD"/>
              </w:rPr>
              <w:t xml:space="preserve"> Această constatare este suficientă pentru a conferi un caracter penal sancțiunilor fiscale impuse reclamantului. Prin urmare, nerespectarea de către reclamant a dispozițiilor fiscale constituie o „infracțiune” în sensul articolului 7 din Convenție. Este necesar de menționat faptul că o infracțiune trebuie să fie clar definită de lege și că această condiție se consideră îndeplinită atunci când individul poate cunoaște din textul dispoziției relevante sau, dacă este necesar, folosind interpretarea acesteia de către instanțele judecătorești sau de un aviz juridic explicativ, care acte </w:t>
            </w:r>
            <w:r w:rsidRPr="00423439">
              <w:rPr>
                <w:rFonts w:cs="Times New Roman"/>
                <w:lang w:val="ro-MD"/>
              </w:rPr>
              <w:t>ș</w:t>
            </w:r>
            <w:r w:rsidRPr="00423439">
              <w:rPr>
                <w:lang w:val="ro-MD"/>
              </w:rPr>
              <w:t>i omisiuni ar implica r</w:t>
            </w:r>
            <w:r w:rsidRPr="00423439">
              <w:rPr>
                <w:rFonts w:cs="Times New Roman"/>
                <w:lang w:val="ro-MD"/>
              </w:rPr>
              <w:t>ă</w:t>
            </w:r>
            <w:r w:rsidRPr="00423439">
              <w:rPr>
                <w:lang w:val="ro-MD"/>
              </w:rPr>
              <w:t>spunderea sa penal</w:t>
            </w:r>
            <w:r w:rsidRPr="00423439">
              <w:rPr>
                <w:rFonts w:cs="Times New Roman"/>
                <w:lang w:val="ro-MD"/>
              </w:rPr>
              <w:t>ă</w:t>
            </w:r>
            <w:r w:rsidRPr="00423439">
              <w:rPr>
                <w:lang w:val="ro-MD"/>
              </w:rPr>
              <w:t xml:space="preserve">. </w:t>
            </w:r>
            <w:r w:rsidRPr="00423439">
              <w:rPr>
                <w:rFonts w:cs="Times New Roman"/>
                <w:lang w:val="ro-MD"/>
              </w:rPr>
              <w:t>Î</w:t>
            </w:r>
            <w:r w:rsidRPr="00423439">
              <w:rPr>
                <w:lang w:val="ro-MD"/>
              </w:rPr>
              <w:t>n aceast</w:t>
            </w:r>
            <w:r w:rsidRPr="00423439">
              <w:rPr>
                <w:rFonts w:cs="Times New Roman"/>
                <w:lang w:val="ro-MD"/>
              </w:rPr>
              <w:t>ă</w:t>
            </w:r>
            <w:r w:rsidRPr="00423439">
              <w:rPr>
                <w:lang w:val="ro-MD"/>
              </w:rPr>
              <w:t xml:space="preserve"> privin</w:t>
            </w:r>
            <w:r w:rsidRPr="00423439">
              <w:rPr>
                <w:rFonts w:cs="Times New Roman"/>
                <w:lang w:val="ro-MD"/>
              </w:rPr>
              <w:t>ță</w:t>
            </w:r>
            <w:r w:rsidRPr="00423439">
              <w:rPr>
                <w:lang w:val="ro-MD"/>
              </w:rPr>
              <w:t>, Curtea a afirmat c</w:t>
            </w:r>
            <w:r w:rsidRPr="00423439">
              <w:rPr>
                <w:rFonts w:cs="Times New Roman"/>
                <w:lang w:val="ro-MD"/>
              </w:rPr>
              <w:t>ă</w:t>
            </w:r>
            <w:r w:rsidRPr="00423439">
              <w:rPr>
                <w:lang w:val="ro-MD"/>
              </w:rPr>
              <w:t xml:space="preserve"> no</w:t>
            </w:r>
            <w:r w:rsidRPr="00423439">
              <w:rPr>
                <w:rFonts w:cs="Times New Roman"/>
                <w:lang w:val="ro-MD"/>
              </w:rPr>
              <w:t>ț</w:t>
            </w:r>
            <w:r w:rsidRPr="00423439">
              <w:rPr>
                <w:lang w:val="ro-MD"/>
              </w:rPr>
              <w:t xml:space="preserve">iunea de </w:t>
            </w:r>
            <w:r w:rsidRPr="00423439">
              <w:rPr>
                <w:rFonts w:cs="Times New Roman"/>
                <w:lang w:val="ro-MD"/>
              </w:rPr>
              <w:t>„</w:t>
            </w:r>
            <w:r w:rsidRPr="00423439">
              <w:rPr>
                <w:lang w:val="ro-MD"/>
              </w:rPr>
              <w:t>lege</w:t>
            </w:r>
            <w:r w:rsidRPr="00423439">
              <w:rPr>
                <w:rFonts w:cs="Times New Roman"/>
                <w:lang w:val="ro-MD"/>
              </w:rPr>
              <w:t>”</w:t>
            </w:r>
            <w:r w:rsidRPr="00423439">
              <w:rPr>
                <w:lang w:val="ro-MD"/>
              </w:rPr>
              <w:t xml:space="preserve"> folosit</w:t>
            </w:r>
            <w:r w:rsidRPr="00423439">
              <w:rPr>
                <w:rFonts w:cs="Times New Roman"/>
                <w:lang w:val="ro-MD"/>
              </w:rPr>
              <w:t>ă</w:t>
            </w:r>
            <w:r w:rsidRPr="00423439">
              <w:rPr>
                <w:lang w:val="ro-MD"/>
              </w:rPr>
              <w:t xml:space="preserve"> la art. 7 din Conven</w:t>
            </w:r>
            <w:r w:rsidRPr="00423439">
              <w:rPr>
                <w:rFonts w:cs="Times New Roman"/>
                <w:lang w:val="ro-MD"/>
              </w:rPr>
              <w:t>ț</w:t>
            </w:r>
            <w:r w:rsidRPr="00423439">
              <w:rPr>
                <w:lang w:val="ro-MD"/>
              </w:rPr>
              <w:t xml:space="preserve">ie corespunde cu cea a </w:t>
            </w:r>
            <w:r w:rsidRPr="00423439">
              <w:rPr>
                <w:rFonts w:cs="Times New Roman"/>
                <w:lang w:val="ro-MD"/>
              </w:rPr>
              <w:t>„</w:t>
            </w:r>
            <w:r w:rsidRPr="00423439">
              <w:rPr>
                <w:lang w:val="ro-MD"/>
              </w:rPr>
              <w:t>legii</w:t>
            </w:r>
            <w:r w:rsidRPr="00423439">
              <w:rPr>
                <w:rFonts w:cs="Times New Roman"/>
                <w:lang w:val="ro-MD"/>
              </w:rPr>
              <w:t>”</w:t>
            </w:r>
            <w:r w:rsidRPr="00423439">
              <w:rPr>
                <w:lang w:val="ro-MD"/>
              </w:rPr>
              <w:t xml:space="preserve"> care apare </w:t>
            </w:r>
            <w:r w:rsidRPr="00423439">
              <w:rPr>
                <w:rFonts w:cs="Times New Roman"/>
                <w:lang w:val="ro-MD"/>
              </w:rPr>
              <w:t>î</w:t>
            </w:r>
            <w:r w:rsidRPr="00423439">
              <w:rPr>
                <w:lang w:val="ro-MD"/>
              </w:rPr>
              <w:t>n alte articole ale Conven</w:t>
            </w:r>
            <w:r w:rsidRPr="00423439">
              <w:rPr>
                <w:rFonts w:cs="Times New Roman"/>
                <w:lang w:val="ro-MD"/>
              </w:rPr>
              <w:t>ț</w:t>
            </w:r>
            <w:r w:rsidRPr="00423439">
              <w:rPr>
                <w:lang w:val="ro-MD"/>
              </w:rPr>
              <w:t>iei; ea implic</w:t>
            </w:r>
            <w:r w:rsidRPr="00423439">
              <w:rPr>
                <w:rFonts w:cs="Times New Roman"/>
                <w:lang w:val="ro-MD"/>
              </w:rPr>
              <w:t>ă</w:t>
            </w:r>
            <w:r w:rsidRPr="00423439">
              <w:rPr>
                <w:lang w:val="ro-MD"/>
              </w:rPr>
              <w:t xml:space="preserve"> condi</w:t>
            </w:r>
            <w:r w:rsidRPr="00423439">
              <w:rPr>
                <w:rFonts w:cs="Times New Roman"/>
                <w:lang w:val="ro-MD"/>
              </w:rPr>
              <w:t>ț</w:t>
            </w:r>
            <w:r w:rsidRPr="00423439">
              <w:rPr>
                <w:lang w:val="ro-MD"/>
              </w:rPr>
              <w:t xml:space="preserve">ii calitative, inclusiv cele legate de accesibilitate </w:t>
            </w:r>
            <w:r w:rsidRPr="00423439">
              <w:rPr>
                <w:rFonts w:cs="Times New Roman"/>
                <w:lang w:val="ro-MD"/>
              </w:rPr>
              <w:t>ș</w:t>
            </w:r>
            <w:r w:rsidRPr="00423439">
              <w:rPr>
                <w:lang w:val="ro-MD"/>
              </w:rPr>
              <w:t xml:space="preserve">i previzibilitate. </w:t>
            </w:r>
            <w:r w:rsidRPr="00423439">
              <w:rPr>
                <w:rFonts w:cs="Times New Roman"/>
                <w:lang w:val="ro-MD"/>
              </w:rPr>
              <w:t>Î</w:t>
            </w:r>
            <w:r w:rsidRPr="00423439">
              <w:rPr>
                <w:lang w:val="ro-MD"/>
              </w:rPr>
              <w:t>n acela</w:t>
            </w:r>
            <w:r w:rsidRPr="00423439">
              <w:rPr>
                <w:rFonts w:cs="Times New Roman"/>
                <w:lang w:val="ro-MD"/>
              </w:rPr>
              <w:t>ș</w:t>
            </w:r>
            <w:r w:rsidRPr="00423439">
              <w:rPr>
                <w:lang w:val="ro-MD"/>
              </w:rPr>
              <w:t xml:space="preserve">i timp, </w:t>
            </w:r>
            <w:r w:rsidRPr="00607149">
              <w:rPr>
                <w:b/>
                <w:bCs/>
                <w:lang w:val="ro-MD"/>
              </w:rPr>
              <w:t>art. 7 din Conven</w:t>
            </w:r>
            <w:r w:rsidRPr="00607149">
              <w:rPr>
                <w:rFonts w:cs="Times New Roman"/>
                <w:b/>
                <w:bCs/>
                <w:lang w:val="ro-MD"/>
              </w:rPr>
              <w:t>ț</w:t>
            </w:r>
            <w:r w:rsidRPr="00607149">
              <w:rPr>
                <w:b/>
                <w:bCs/>
                <w:lang w:val="ro-MD"/>
              </w:rPr>
              <w:t xml:space="preserve">ie nu poate fi interpretat că ar interzice clarificarea graduală a normelor de răspundere penală </w:t>
            </w:r>
            <w:r w:rsidRPr="00607149">
              <w:rPr>
                <w:b/>
                <w:bCs/>
                <w:lang w:val="ro-MD"/>
              </w:rPr>
              <w:lastRenderedPageBreak/>
              <w:t>prin interpretarea judiciară de la un caz la altul</w:t>
            </w:r>
            <w:r w:rsidRPr="00423439">
              <w:rPr>
                <w:lang w:val="ro-MD"/>
              </w:rPr>
              <w:t>, cu condiția că rezultatul în conformitate cu fondul infracțiunii este rațional previzibil. Având în vedere existența unor îndoieli cu privire la sfera de aplicare a noțiunii „onorarii” și la dispozițiile art. 11 din Codul fiscal, la data faptelor, reclamantul ar fi putut, în mod rezonabil, să se aștepte că interpretarea în favoarea sa va fi reținută de către autoritățile statului.  Având în vedere cele de mai sus, Curtea consideră că, chiar și în calitate de profesionist care ar putea solicita consultanță juridică, era dificil pentru reclamant să prevadă inversarea jurisprudenței Curții Supreme de Justiție și să cunoască faptul că, în momentul în care a calculat valoarea contribuțiilor sociale plătibile pentru anii 2000 și 2001, acțiunile sale ar putea conduce la o sancțiune penală. În aceste condiții, în prezenta cauză a avut loc încălcarea art. 7 din Convenție.</w:t>
            </w:r>
          </w:p>
        </w:tc>
        <w:tc>
          <w:tcPr>
            <w:tcW w:w="4111" w:type="dxa"/>
            <w:tcBorders>
              <w:top w:val="single" w:sz="12" w:space="0" w:color="auto"/>
              <w:right w:val="single" w:sz="12" w:space="0" w:color="auto"/>
            </w:tcBorders>
          </w:tcPr>
          <w:p w14:paraId="13C5FCF4" w14:textId="191FD039" w:rsidR="004F223B" w:rsidRPr="00423439" w:rsidRDefault="001B27A9" w:rsidP="00C542B4">
            <w:pPr>
              <w:spacing w:before="120" w:line="276" w:lineRule="auto"/>
              <w:jc w:val="center"/>
              <w:rPr>
                <w:lang w:val="ro-MD"/>
              </w:rPr>
            </w:pPr>
            <w:r w:rsidRPr="00423439">
              <w:rPr>
                <w:lang w:val="ro-MD"/>
              </w:rPr>
              <w:lastRenderedPageBreak/>
              <w:t>4.500 euro (moral) 1.200 euro (cost/chelt.</w:t>
            </w:r>
          </w:p>
        </w:tc>
      </w:tr>
      <w:tr w:rsidR="004F223B" w:rsidRPr="00423439" w14:paraId="5FF37173" w14:textId="77777777" w:rsidTr="00C542B4">
        <w:trPr>
          <w:trHeight w:val="2160"/>
        </w:trPr>
        <w:tc>
          <w:tcPr>
            <w:tcW w:w="557" w:type="dxa"/>
            <w:tcBorders>
              <w:top w:val="single" w:sz="12" w:space="0" w:color="auto"/>
              <w:left w:val="single" w:sz="12" w:space="0" w:color="auto"/>
            </w:tcBorders>
          </w:tcPr>
          <w:p w14:paraId="00D4F956" w14:textId="7E1A6544" w:rsidR="004F223B" w:rsidRPr="00423439" w:rsidRDefault="004F223B" w:rsidP="00C542B4">
            <w:pPr>
              <w:spacing w:before="120" w:after="120"/>
              <w:jc w:val="center"/>
              <w:rPr>
                <w:b/>
                <w:bCs/>
                <w:lang w:val="ro-MD"/>
              </w:rPr>
            </w:pPr>
            <w:r w:rsidRPr="00423439">
              <w:rPr>
                <w:b/>
                <w:bCs/>
                <w:lang w:val="ro-MD"/>
              </w:rPr>
              <w:lastRenderedPageBreak/>
              <w:t>7)</w:t>
            </w:r>
          </w:p>
        </w:tc>
        <w:tc>
          <w:tcPr>
            <w:tcW w:w="1413" w:type="dxa"/>
            <w:tcBorders>
              <w:top w:val="single" w:sz="12" w:space="0" w:color="auto"/>
            </w:tcBorders>
          </w:tcPr>
          <w:p w14:paraId="6414FB54" w14:textId="77777777" w:rsidR="004F223B" w:rsidRPr="00423439" w:rsidRDefault="001B27A9" w:rsidP="00C542B4">
            <w:pPr>
              <w:spacing w:before="120" w:after="120"/>
              <w:jc w:val="center"/>
              <w:rPr>
                <w:b/>
                <w:bCs/>
                <w:lang w:val="ro-MD"/>
              </w:rPr>
            </w:pPr>
            <w:r w:rsidRPr="00423439">
              <w:rPr>
                <w:b/>
                <w:bCs/>
                <w:lang w:val="ro-MD"/>
              </w:rPr>
              <w:t>Sandu și alții</w:t>
            </w:r>
            <w:r w:rsidR="003B5C09" w:rsidRPr="00423439">
              <w:rPr>
                <w:b/>
                <w:bCs/>
                <w:lang w:val="ro-MD"/>
              </w:rPr>
              <w:t xml:space="preserve"> v. Republica Moldova</w:t>
            </w:r>
          </w:p>
          <w:p w14:paraId="00D57EEA" w14:textId="77777777" w:rsidR="003B5C09" w:rsidRPr="00423439" w:rsidRDefault="003B5C09" w:rsidP="00C542B4">
            <w:pPr>
              <w:spacing w:before="120" w:after="120"/>
              <w:jc w:val="center"/>
              <w:rPr>
                <w:b/>
                <w:bCs/>
                <w:i/>
                <w:iCs/>
                <w:lang w:val="ro-MD"/>
              </w:rPr>
            </w:pPr>
            <w:r w:rsidRPr="00423439">
              <w:rPr>
                <w:b/>
                <w:bCs/>
                <w:i/>
                <w:iCs/>
                <w:lang w:val="ro-MD"/>
              </w:rPr>
              <w:t>(</w:t>
            </w:r>
            <w:r w:rsidRPr="00607149">
              <w:rPr>
                <w:i/>
                <w:iCs/>
                <w:lang w:val="ro-MD"/>
              </w:rPr>
              <w:t>Cererea nr. </w:t>
            </w:r>
            <w:hyperlink r:id="rId14" w:anchor="{%22appno%22:[%2216463/08%22]}" w:tgtFrame="_blank" w:history="1">
              <w:r w:rsidRPr="00607149">
                <w:rPr>
                  <w:rStyle w:val="af4"/>
                  <w:i/>
                  <w:iCs/>
                  <w:lang w:val="ro-MD"/>
                </w:rPr>
                <w:t>16463/08</w:t>
              </w:r>
            </w:hyperlink>
            <w:r w:rsidRPr="00423439">
              <w:rPr>
                <w:b/>
                <w:bCs/>
                <w:i/>
                <w:iCs/>
                <w:lang w:val="ro-MD"/>
              </w:rPr>
              <w:t>)</w:t>
            </w:r>
          </w:p>
          <w:p w14:paraId="056E15E9" w14:textId="5742272E" w:rsidR="003B5C09" w:rsidRPr="00423439" w:rsidRDefault="003B5C09" w:rsidP="00C542B4">
            <w:pPr>
              <w:spacing w:before="120" w:after="120"/>
              <w:jc w:val="center"/>
              <w:rPr>
                <w:b/>
                <w:bCs/>
                <w:lang w:val="ro-MD"/>
              </w:rPr>
            </w:pPr>
            <w:r w:rsidRPr="00423439">
              <w:rPr>
                <w:b/>
                <w:bCs/>
                <w:lang w:val="ro-MD"/>
              </w:rPr>
              <w:lastRenderedPageBreak/>
              <w:t>11 februarie 2014</w:t>
            </w:r>
          </w:p>
        </w:tc>
        <w:tc>
          <w:tcPr>
            <w:tcW w:w="992" w:type="dxa"/>
            <w:tcBorders>
              <w:top w:val="single" w:sz="12" w:space="0" w:color="auto"/>
            </w:tcBorders>
          </w:tcPr>
          <w:p w14:paraId="6B4B51ED" w14:textId="103595D0" w:rsidR="004F223B" w:rsidRPr="00423439" w:rsidRDefault="004F223B" w:rsidP="00C542B4">
            <w:pPr>
              <w:spacing w:before="120" w:after="120"/>
              <w:jc w:val="center"/>
              <w:rPr>
                <w:lang w:val="ro-MD"/>
              </w:rPr>
            </w:pPr>
            <w:r w:rsidRPr="00423439">
              <w:rPr>
                <w:lang w:val="ro-MD"/>
              </w:rPr>
              <w:lastRenderedPageBreak/>
              <w:t>c. MD</w:t>
            </w:r>
          </w:p>
        </w:tc>
        <w:tc>
          <w:tcPr>
            <w:tcW w:w="992" w:type="dxa"/>
            <w:tcBorders>
              <w:top w:val="single" w:sz="12" w:space="0" w:color="auto"/>
            </w:tcBorders>
          </w:tcPr>
          <w:p w14:paraId="61B9FA8D" w14:textId="77777777" w:rsidR="004F223B" w:rsidRPr="00423439" w:rsidRDefault="003B5C09" w:rsidP="00C542B4">
            <w:pPr>
              <w:spacing w:before="120" w:after="120"/>
              <w:jc w:val="center"/>
              <w:rPr>
                <w:lang w:val="ro-MD"/>
              </w:rPr>
            </w:pPr>
            <w:r w:rsidRPr="00423439">
              <w:rPr>
                <w:lang w:val="ro-MD"/>
              </w:rPr>
              <w:t>6</w:t>
            </w:r>
          </w:p>
          <w:p w14:paraId="4392E4F8" w14:textId="40A73AD1" w:rsidR="003B5C09" w:rsidRPr="00423439" w:rsidRDefault="003B5C09" w:rsidP="00C542B4">
            <w:pPr>
              <w:spacing w:before="120" w:after="120"/>
              <w:jc w:val="center"/>
              <w:rPr>
                <w:lang w:val="ro-MD"/>
              </w:rPr>
            </w:pPr>
            <w:r w:rsidRPr="00423439">
              <w:rPr>
                <w:lang w:val="ro-MD"/>
              </w:rPr>
              <w:t>6 § 1</w:t>
            </w:r>
          </w:p>
        </w:tc>
        <w:tc>
          <w:tcPr>
            <w:tcW w:w="709" w:type="dxa"/>
            <w:tcBorders>
              <w:top w:val="single" w:sz="12" w:space="0" w:color="auto"/>
            </w:tcBorders>
          </w:tcPr>
          <w:p w14:paraId="7566E006" w14:textId="3D15AE5F" w:rsidR="004F223B" w:rsidRPr="00423439" w:rsidRDefault="001B27A9" w:rsidP="00C542B4">
            <w:pPr>
              <w:spacing w:before="120" w:after="120"/>
              <w:jc w:val="center"/>
              <w:rPr>
                <w:lang w:val="ro-MD"/>
              </w:rPr>
            </w:pPr>
            <w:r w:rsidRPr="00423439">
              <w:rPr>
                <w:lang w:val="ro-MD"/>
              </w:rPr>
              <w:t>37</w:t>
            </w:r>
            <w:r w:rsidRPr="00423439">
              <w:rPr>
                <w:rStyle w:val="af3"/>
                <w:lang w:val="ro-MD"/>
              </w:rPr>
              <w:footnoteReference w:id="3"/>
            </w:r>
          </w:p>
        </w:tc>
        <w:tc>
          <w:tcPr>
            <w:tcW w:w="1276" w:type="dxa"/>
            <w:tcBorders>
              <w:top w:val="single" w:sz="12" w:space="0" w:color="auto"/>
            </w:tcBorders>
          </w:tcPr>
          <w:p w14:paraId="06AD2F88" w14:textId="653EA557" w:rsidR="004F223B" w:rsidRPr="00423439" w:rsidRDefault="001B27A9" w:rsidP="00C542B4">
            <w:pPr>
              <w:spacing w:before="120" w:after="120"/>
              <w:jc w:val="center"/>
              <w:rPr>
                <w:lang w:val="ro-MD"/>
              </w:rPr>
            </w:pPr>
            <w:r w:rsidRPr="00423439">
              <w:rPr>
                <w:lang w:val="ro-MD"/>
              </w:rPr>
              <w:t xml:space="preserve">46 reclamanți, terenuri agricole, proprietate, 2004, </w:t>
            </w:r>
            <w:r w:rsidRPr="00423439">
              <w:rPr>
                <w:lang w:val="ro-MD"/>
              </w:rPr>
              <w:lastRenderedPageBreak/>
              <w:t>blocarea accesului</w:t>
            </w:r>
          </w:p>
        </w:tc>
        <w:tc>
          <w:tcPr>
            <w:tcW w:w="6095" w:type="dxa"/>
            <w:tcBorders>
              <w:top w:val="single" w:sz="12" w:space="0" w:color="auto"/>
            </w:tcBorders>
          </w:tcPr>
          <w:p w14:paraId="3D0536DE" w14:textId="4BE1E2A9" w:rsidR="004F223B" w:rsidRPr="00423439" w:rsidRDefault="001B27A9" w:rsidP="00C542B4">
            <w:pPr>
              <w:spacing w:before="120" w:after="120"/>
              <w:jc w:val="center"/>
              <w:rPr>
                <w:lang w:val="ro-MD"/>
              </w:rPr>
            </w:pPr>
            <w:r w:rsidRPr="00423439">
              <w:rPr>
                <w:lang w:val="ro-MD"/>
              </w:rPr>
              <w:lastRenderedPageBreak/>
              <w:t>Cu referire la Republica Moldova, Curtea notează că, în cauzele Ilașcu și alții, Catan și alții și Mozer citate mai sus, aceasta a statuat că, deși Moldova nu deține un control efectiv asupra regiunii transnistrene, persoanele care locuiesc în această regiune se află sub jurisdicția Republicii Moldova, dat fiind teritorialitatea acesteia. Obliga</w:t>
            </w:r>
            <w:r w:rsidRPr="00423439">
              <w:rPr>
                <w:rFonts w:cs="Times New Roman"/>
                <w:lang w:val="ro-MD"/>
              </w:rPr>
              <w:t>ț</w:t>
            </w:r>
            <w:r w:rsidRPr="00423439">
              <w:rPr>
                <w:lang w:val="ro-MD"/>
              </w:rPr>
              <w:t xml:space="preserve">ia Republicii Moldova </w:t>
            </w:r>
            <w:r w:rsidRPr="00423439">
              <w:rPr>
                <w:rFonts w:cs="Times New Roman"/>
                <w:lang w:val="ro-MD"/>
              </w:rPr>
              <w:t>î</w:t>
            </w:r>
            <w:r w:rsidRPr="00423439">
              <w:rPr>
                <w:lang w:val="ro-MD"/>
              </w:rPr>
              <w:t>n virtutea art. 1 din Conven</w:t>
            </w:r>
            <w:r w:rsidRPr="00423439">
              <w:rPr>
                <w:rFonts w:cs="Times New Roman"/>
                <w:lang w:val="ro-MD"/>
              </w:rPr>
              <w:t>ț</w:t>
            </w:r>
            <w:r w:rsidRPr="00423439">
              <w:rPr>
                <w:lang w:val="ro-MD"/>
              </w:rPr>
              <w:t xml:space="preserve">ie, cea de a </w:t>
            </w:r>
            <w:r w:rsidRPr="00423439">
              <w:rPr>
                <w:lang w:val="ro-MD"/>
              </w:rPr>
              <w:lastRenderedPageBreak/>
              <w:t xml:space="preserve">recunoaște fi ecărei persoane sub jurisdicția sa drepturile și libertățile garantate de Convenție, s-a limitat la întreprinderea tuturor măsurilor de ordin diplomatic, economic, juridic sau de altă natură în măsura posibilităților și în conformitate cu dreptul. </w:t>
            </w:r>
            <w:r w:rsidRPr="00607149">
              <w:rPr>
                <w:b/>
                <w:bCs/>
                <w:lang w:val="ro-MD"/>
              </w:rPr>
              <w:t>Obligațiile Republicii Moldova în conformitate cu art. 1 din Convenție au fost descrise ca fiind obligații pozitive</w:t>
            </w:r>
            <w:r w:rsidRPr="00423439">
              <w:rPr>
                <w:lang w:val="ro-MD"/>
              </w:rPr>
              <w:t xml:space="preserve">. În ceea ce privește primul aspect al obligației Republicii Moldova de a restabili controlul, Curtea a constatat în cauza Mozer că, de la începutul ostilităților din 1991 și 1992 până în iulie 2010, Moldova a luat toate măsurile ce au stat în puterea sa. Deoarece în prezenta cauză evenimentele respective au avut loc înainte de această dată, Curtea nu vede vreun motiv pentru a ajunge la o altă concluzie. În ceea ce privește al doilea aspect al obligațiilor pozitive, </w:t>
            </w:r>
            <w:r w:rsidRPr="00607149">
              <w:rPr>
                <w:i/>
                <w:iCs/>
                <w:lang w:val="ro-MD"/>
              </w:rPr>
              <w:t>id est</w:t>
            </w:r>
            <w:r w:rsidRPr="00423439">
              <w:rPr>
                <w:lang w:val="ro-MD"/>
              </w:rPr>
              <w:t xml:space="preserve"> asigurarea respectării drepturilor reclamanților, Curtea ia act de eforturile depuse de către autoritățile Republicii Moldova atât pentru asigurarea accesului la terenurile respective, cât și pentru compensațiile oferite celor afectați de restricțiile impuse de „RMN”. Având în vedere materialele cauzei, aceasta consideră că Republica Moldova și-a îndeplinit obligațiile sale pozitive față de reclama</w:t>
            </w:r>
            <w:r w:rsidR="00607149">
              <w:rPr>
                <w:lang w:val="ro-MD"/>
              </w:rPr>
              <w:t>nți.</w:t>
            </w:r>
          </w:p>
        </w:tc>
        <w:tc>
          <w:tcPr>
            <w:tcW w:w="4111" w:type="dxa"/>
            <w:tcBorders>
              <w:top w:val="single" w:sz="12" w:space="0" w:color="auto"/>
              <w:right w:val="single" w:sz="12" w:space="0" w:color="auto"/>
            </w:tcBorders>
          </w:tcPr>
          <w:p w14:paraId="73DEF239" w14:textId="77777777" w:rsidR="001B27A9" w:rsidRPr="00423439" w:rsidRDefault="001B27A9" w:rsidP="00C542B4">
            <w:pPr>
              <w:spacing w:before="120" w:line="276" w:lineRule="auto"/>
              <w:jc w:val="center"/>
              <w:rPr>
                <w:lang w:val="ro-MD"/>
              </w:rPr>
            </w:pPr>
            <w:r w:rsidRPr="00423439">
              <w:rPr>
                <w:lang w:val="ro-MD"/>
              </w:rPr>
              <w:lastRenderedPageBreak/>
              <w:t>gro-Tiras</w:t>
            </w:r>
          </w:p>
          <w:p w14:paraId="4AFF6579" w14:textId="77777777" w:rsidR="001B27A9" w:rsidRPr="00423439" w:rsidRDefault="001B27A9" w:rsidP="00C542B4">
            <w:pPr>
              <w:spacing w:before="120" w:line="276" w:lineRule="auto"/>
              <w:jc w:val="center"/>
              <w:rPr>
                <w:lang w:val="ro-MD"/>
              </w:rPr>
            </w:pPr>
            <w:r w:rsidRPr="00423439">
              <w:rPr>
                <w:lang w:val="ro-MD"/>
              </w:rPr>
              <w:t>SRL –</w:t>
            </w:r>
          </w:p>
          <w:p w14:paraId="42E4BB08" w14:textId="77777777" w:rsidR="001B27A9" w:rsidRPr="00423439" w:rsidRDefault="001B27A9" w:rsidP="00C542B4">
            <w:pPr>
              <w:spacing w:before="120" w:line="276" w:lineRule="auto"/>
              <w:jc w:val="center"/>
              <w:rPr>
                <w:lang w:val="ro-MD"/>
              </w:rPr>
            </w:pPr>
            <w:r w:rsidRPr="00423439">
              <w:rPr>
                <w:lang w:val="ro-MD"/>
              </w:rPr>
              <w:t>115.300 euro</w:t>
            </w:r>
          </w:p>
          <w:p w14:paraId="5BE80735" w14:textId="77777777" w:rsidR="001B27A9" w:rsidRPr="00423439" w:rsidRDefault="001B27A9" w:rsidP="00C542B4">
            <w:pPr>
              <w:spacing w:before="120" w:line="276" w:lineRule="auto"/>
              <w:jc w:val="center"/>
              <w:rPr>
                <w:lang w:val="ro-MD"/>
              </w:rPr>
            </w:pPr>
            <w:r w:rsidRPr="00423439">
              <w:rPr>
                <w:lang w:val="ro-MD"/>
              </w:rPr>
              <w:t>(material)</w:t>
            </w:r>
          </w:p>
          <w:p w14:paraId="6F696C45" w14:textId="77777777" w:rsidR="001B27A9" w:rsidRPr="00423439" w:rsidRDefault="001B27A9" w:rsidP="00C542B4">
            <w:pPr>
              <w:spacing w:before="120" w:line="276" w:lineRule="auto"/>
              <w:jc w:val="center"/>
              <w:rPr>
                <w:lang w:val="ro-MD"/>
              </w:rPr>
            </w:pPr>
            <w:r w:rsidRPr="00423439">
              <w:rPr>
                <w:lang w:val="ro-MD"/>
              </w:rPr>
              <w:t>AgroS.A.V.V.A.</w:t>
            </w:r>
          </w:p>
          <w:p w14:paraId="3A6B821C" w14:textId="77777777" w:rsidR="001B27A9" w:rsidRPr="00423439" w:rsidRDefault="001B27A9" w:rsidP="00C542B4">
            <w:pPr>
              <w:spacing w:before="120" w:line="276" w:lineRule="auto"/>
              <w:jc w:val="center"/>
              <w:rPr>
                <w:lang w:val="ro-MD"/>
              </w:rPr>
            </w:pPr>
            <w:r w:rsidRPr="00423439">
              <w:rPr>
                <w:lang w:val="ro-MD"/>
              </w:rPr>
              <w:t>SRL –</w:t>
            </w:r>
          </w:p>
          <w:p w14:paraId="496B4D81" w14:textId="77777777" w:rsidR="001B27A9" w:rsidRPr="00423439" w:rsidRDefault="001B27A9" w:rsidP="00C542B4">
            <w:pPr>
              <w:spacing w:before="120" w:line="276" w:lineRule="auto"/>
              <w:jc w:val="center"/>
              <w:rPr>
                <w:lang w:val="ro-MD"/>
              </w:rPr>
            </w:pPr>
            <w:r w:rsidRPr="00423439">
              <w:rPr>
                <w:lang w:val="ro-MD"/>
              </w:rPr>
              <w:t>80.500 euro</w:t>
            </w:r>
          </w:p>
          <w:p w14:paraId="348925D5" w14:textId="77777777" w:rsidR="001B27A9" w:rsidRPr="00423439" w:rsidRDefault="001B27A9" w:rsidP="00C542B4">
            <w:pPr>
              <w:spacing w:before="120" w:line="276" w:lineRule="auto"/>
              <w:jc w:val="center"/>
              <w:rPr>
                <w:lang w:val="ro-MD"/>
              </w:rPr>
            </w:pPr>
            <w:r w:rsidRPr="00423439">
              <w:rPr>
                <w:lang w:val="ro-MD"/>
              </w:rPr>
              <w:lastRenderedPageBreak/>
              <w:t>(material)</w:t>
            </w:r>
          </w:p>
          <w:p w14:paraId="0C7D194D" w14:textId="77777777" w:rsidR="001B27A9" w:rsidRPr="00423439" w:rsidRDefault="001B27A9" w:rsidP="00C542B4">
            <w:pPr>
              <w:spacing w:before="120" w:line="276" w:lineRule="auto"/>
              <w:jc w:val="center"/>
              <w:rPr>
                <w:lang w:val="ro-MD"/>
              </w:rPr>
            </w:pPr>
            <w:r w:rsidRPr="00423439">
              <w:rPr>
                <w:lang w:val="ro-MD"/>
              </w:rPr>
              <w:t>GȚ Serghei</w:t>
            </w:r>
          </w:p>
          <w:p w14:paraId="364045F0" w14:textId="77777777" w:rsidR="001B27A9" w:rsidRPr="00423439" w:rsidRDefault="001B27A9" w:rsidP="00C542B4">
            <w:pPr>
              <w:spacing w:before="120" w:line="276" w:lineRule="auto"/>
              <w:jc w:val="center"/>
              <w:rPr>
                <w:lang w:val="ro-MD"/>
              </w:rPr>
            </w:pPr>
            <w:r w:rsidRPr="00423439">
              <w:rPr>
                <w:lang w:val="ro-MD"/>
              </w:rPr>
              <w:t>Popa –</w:t>
            </w:r>
          </w:p>
          <w:p w14:paraId="5AC7CD0C" w14:textId="77777777" w:rsidR="001B27A9" w:rsidRPr="00423439" w:rsidRDefault="001B27A9" w:rsidP="00C542B4">
            <w:pPr>
              <w:spacing w:before="120" w:line="276" w:lineRule="auto"/>
              <w:jc w:val="center"/>
              <w:rPr>
                <w:lang w:val="ro-MD"/>
              </w:rPr>
            </w:pPr>
            <w:r w:rsidRPr="00423439">
              <w:rPr>
                <w:lang w:val="ro-MD"/>
              </w:rPr>
              <w:t>50.000 euro</w:t>
            </w:r>
          </w:p>
          <w:p w14:paraId="3E121C6D" w14:textId="77777777" w:rsidR="001B27A9" w:rsidRPr="00423439" w:rsidRDefault="001B27A9" w:rsidP="00C542B4">
            <w:pPr>
              <w:spacing w:before="120" w:line="276" w:lineRule="auto"/>
              <w:jc w:val="center"/>
              <w:rPr>
                <w:lang w:val="ro-MD"/>
              </w:rPr>
            </w:pPr>
            <w:r w:rsidRPr="00423439">
              <w:rPr>
                <w:lang w:val="ro-MD"/>
              </w:rPr>
              <w:t>(material)</w:t>
            </w:r>
          </w:p>
          <w:p w14:paraId="57D95DFC" w14:textId="77777777" w:rsidR="001B27A9" w:rsidRPr="00423439" w:rsidRDefault="001B27A9" w:rsidP="00C542B4">
            <w:pPr>
              <w:spacing w:before="120" w:line="276" w:lineRule="auto"/>
              <w:jc w:val="center"/>
              <w:rPr>
                <w:lang w:val="ro-MD"/>
              </w:rPr>
            </w:pPr>
            <w:r w:rsidRPr="00423439">
              <w:rPr>
                <w:lang w:val="ro-MD"/>
              </w:rPr>
              <w:t>Fiecărui</w:t>
            </w:r>
          </w:p>
          <w:p w14:paraId="48F764F6" w14:textId="77777777" w:rsidR="001B27A9" w:rsidRPr="00423439" w:rsidRDefault="001B27A9" w:rsidP="00C542B4">
            <w:pPr>
              <w:spacing w:before="120" w:line="276" w:lineRule="auto"/>
              <w:jc w:val="center"/>
              <w:rPr>
                <w:lang w:val="ro-MD"/>
              </w:rPr>
            </w:pPr>
            <w:r w:rsidRPr="00423439">
              <w:rPr>
                <w:lang w:val="ro-MD"/>
              </w:rPr>
              <w:t>reclamant:</w:t>
            </w:r>
          </w:p>
          <w:p w14:paraId="55E91818" w14:textId="77777777" w:rsidR="001B27A9" w:rsidRPr="00423439" w:rsidRDefault="001B27A9" w:rsidP="00C542B4">
            <w:pPr>
              <w:spacing w:before="120" w:line="276" w:lineRule="auto"/>
              <w:jc w:val="center"/>
              <w:rPr>
                <w:lang w:val="ro-MD"/>
              </w:rPr>
            </w:pPr>
            <w:r w:rsidRPr="00423439">
              <w:rPr>
                <w:lang w:val="ro-MD"/>
              </w:rPr>
              <w:t>1.500 euro</w:t>
            </w:r>
          </w:p>
          <w:p w14:paraId="6A4E2BAE" w14:textId="77777777" w:rsidR="001B27A9" w:rsidRPr="00423439" w:rsidRDefault="001B27A9" w:rsidP="00C542B4">
            <w:pPr>
              <w:spacing w:before="120" w:line="276" w:lineRule="auto"/>
              <w:jc w:val="center"/>
              <w:rPr>
                <w:lang w:val="ro-MD"/>
              </w:rPr>
            </w:pPr>
            <w:r w:rsidRPr="00423439">
              <w:rPr>
                <w:lang w:val="ro-MD"/>
              </w:rPr>
              <w:t>(moral)</w:t>
            </w:r>
          </w:p>
          <w:p w14:paraId="53EE9FAE" w14:textId="77777777" w:rsidR="001B27A9" w:rsidRPr="00423439" w:rsidRDefault="001B27A9" w:rsidP="00C542B4">
            <w:pPr>
              <w:spacing w:before="120" w:line="276" w:lineRule="auto"/>
              <w:jc w:val="center"/>
              <w:rPr>
                <w:lang w:val="ro-MD"/>
              </w:rPr>
            </w:pPr>
            <w:r w:rsidRPr="00423439">
              <w:rPr>
                <w:lang w:val="ro-MD"/>
              </w:rPr>
              <w:t>Fiecărei</w:t>
            </w:r>
          </w:p>
          <w:p w14:paraId="0470BE84" w14:textId="77777777" w:rsidR="001B27A9" w:rsidRPr="00423439" w:rsidRDefault="001B27A9" w:rsidP="00C542B4">
            <w:pPr>
              <w:spacing w:before="120" w:line="276" w:lineRule="auto"/>
              <w:jc w:val="center"/>
              <w:rPr>
                <w:lang w:val="ro-MD"/>
              </w:rPr>
            </w:pPr>
            <w:r w:rsidRPr="00423439">
              <w:rPr>
                <w:lang w:val="ro-MD"/>
              </w:rPr>
              <w:t>companie</w:t>
            </w:r>
          </w:p>
          <w:p w14:paraId="74497B6F" w14:textId="77777777" w:rsidR="001B27A9" w:rsidRPr="00423439" w:rsidRDefault="001B27A9" w:rsidP="00C542B4">
            <w:pPr>
              <w:spacing w:before="120" w:line="276" w:lineRule="auto"/>
              <w:jc w:val="center"/>
              <w:rPr>
                <w:lang w:val="ro-MD"/>
              </w:rPr>
            </w:pPr>
            <w:r w:rsidRPr="00423439">
              <w:rPr>
                <w:lang w:val="ro-MD"/>
              </w:rPr>
              <w:t>reclamantă:</w:t>
            </w:r>
          </w:p>
          <w:p w14:paraId="421134FB" w14:textId="77777777" w:rsidR="001B27A9" w:rsidRPr="00423439" w:rsidRDefault="001B27A9" w:rsidP="00C542B4">
            <w:pPr>
              <w:spacing w:before="120" w:line="276" w:lineRule="auto"/>
              <w:jc w:val="center"/>
              <w:rPr>
                <w:lang w:val="ro-MD"/>
              </w:rPr>
            </w:pPr>
            <w:r w:rsidRPr="00423439">
              <w:rPr>
                <w:lang w:val="ro-MD"/>
              </w:rPr>
              <w:t>5.000 euro</w:t>
            </w:r>
          </w:p>
          <w:p w14:paraId="292A4B24" w14:textId="77777777" w:rsidR="001B27A9" w:rsidRPr="00423439" w:rsidRDefault="001B27A9" w:rsidP="00C542B4">
            <w:pPr>
              <w:spacing w:before="120" w:line="276" w:lineRule="auto"/>
              <w:jc w:val="center"/>
              <w:rPr>
                <w:lang w:val="ro-MD"/>
              </w:rPr>
            </w:pPr>
            <w:r w:rsidRPr="00423439">
              <w:rPr>
                <w:lang w:val="ro-MD"/>
              </w:rPr>
              <w:t>(moral)</w:t>
            </w:r>
          </w:p>
          <w:p w14:paraId="56916244" w14:textId="77777777" w:rsidR="001B27A9" w:rsidRPr="00423439" w:rsidRDefault="001B27A9" w:rsidP="00C542B4">
            <w:pPr>
              <w:spacing w:before="120" w:line="276" w:lineRule="auto"/>
              <w:jc w:val="center"/>
              <w:rPr>
                <w:lang w:val="ro-MD"/>
              </w:rPr>
            </w:pPr>
            <w:r w:rsidRPr="00423439">
              <w:rPr>
                <w:lang w:val="ro-MD"/>
              </w:rPr>
              <w:t>Total:</w:t>
            </w:r>
          </w:p>
          <w:p w14:paraId="2273C1C4" w14:textId="77777777" w:rsidR="001B27A9" w:rsidRPr="00423439" w:rsidRDefault="001B27A9" w:rsidP="00C542B4">
            <w:pPr>
              <w:spacing w:before="120" w:line="276" w:lineRule="auto"/>
              <w:jc w:val="center"/>
              <w:rPr>
                <w:lang w:val="ro-MD"/>
              </w:rPr>
            </w:pPr>
            <w:r w:rsidRPr="00423439">
              <w:rPr>
                <w:lang w:val="ro-MD"/>
              </w:rPr>
              <w:t>20.000 euro</w:t>
            </w:r>
          </w:p>
          <w:p w14:paraId="0C16C0E9" w14:textId="4DDD47BB" w:rsidR="004F223B" w:rsidRPr="00423439" w:rsidRDefault="001B27A9" w:rsidP="00C542B4">
            <w:pPr>
              <w:spacing w:before="120" w:line="276" w:lineRule="auto"/>
              <w:jc w:val="center"/>
              <w:rPr>
                <w:lang w:val="ro-MD"/>
              </w:rPr>
            </w:pPr>
            <w:r w:rsidRPr="00423439">
              <w:rPr>
                <w:lang w:val="ro-MD"/>
              </w:rPr>
              <w:t>(cost/chelt.</w:t>
            </w:r>
          </w:p>
        </w:tc>
      </w:tr>
      <w:tr w:rsidR="004F223B" w:rsidRPr="00870AB7" w14:paraId="62E30C05" w14:textId="77777777" w:rsidTr="00C542B4">
        <w:trPr>
          <w:trHeight w:val="2160"/>
        </w:trPr>
        <w:tc>
          <w:tcPr>
            <w:tcW w:w="557" w:type="dxa"/>
            <w:tcBorders>
              <w:top w:val="single" w:sz="12" w:space="0" w:color="auto"/>
              <w:left w:val="single" w:sz="12" w:space="0" w:color="auto"/>
            </w:tcBorders>
          </w:tcPr>
          <w:p w14:paraId="05FE2862" w14:textId="4005FC02" w:rsidR="004F223B" w:rsidRPr="00423439" w:rsidRDefault="004F223B" w:rsidP="00C542B4">
            <w:pPr>
              <w:spacing w:before="120" w:after="120"/>
              <w:jc w:val="center"/>
              <w:rPr>
                <w:b/>
                <w:bCs/>
                <w:lang w:val="ro-MD"/>
              </w:rPr>
            </w:pPr>
            <w:r w:rsidRPr="00423439">
              <w:rPr>
                <w:b/>
                <w:bCs/>
                <w:lang w:val="ro-MD"/>
              </w:rPr>
              <w:lastRenderedPageBreak/>
              <w:t>8)</w:t>
            </w:r>
          </w:p>
        </w:tc>
        <w:tc>
          <w:tcPr>
            <w:tcW w:w="1413" w:type="dxa"/>
            <w:tcBorders>
              <w:top w:val="single" w:sz="12" w:space="0" w:color="auto"/>
            </w:tcBorders>
          </w:tcPr>
          <w:p w14:paraId="2B39E6BC" w14:textId="01261C25" w:rsidR="00513C76" w:rsidRPr="00423439" w:rsidRDefault="003B5C09" w:rsidP="00C542B4">
            <w:pPr>
              <w:spacing w:before="120" w:after="120"/>
              <w:jc w:val="center"/>
              <w:rPr>
                <w:b/>
                <w:bCs/>
                <w:lang w:val="ro-MD"/>
              </w:rPr>
            </w:pPr>
            <w:r w:rsidRPr="00423439">
              <w:rPr>
                <w:b/>
                <w:bCs/>
                <w:lang w:val="ro-MD"/>
              </w:rPr>
              <w:t>Agurdino S.R.L. c. Republicii Moldova</w:t>
            </w:r>
          </w:p>
          <w:p w14:paraId="5799E5F9" w14:textId="582F9A97" w:rsidR="00513C76" w:rsidRPr="00423439" w:rsidRDefault="00513C76" w:rsidP="00C542B4">
            <w:pPr>
              <w:spacing w:before="120" w:after="120"/>
              <w:jc w:val="center"/>
              <w:rPr>
                <w:b/>
                <w:bCs/>
                <w:i/>
                <w:lang w:val="ro-MD"/>
              </w:rPr>
            </w:pPr>
            <w:r w:rsidRPr="00423439">
              <w:rPr>
                <w:b/>
                <w:bCs/>
                <w:i/>
                <w:lang w:val="ro-MD"/>
              </w:rPr>
              <w:t>(</w:t>
            </w:r>
            <w:r w:rsidRPr="00607149">
              <w:rPr>
                <w:i/>
                <w:lang w:val="ro-MD"/>
              </w:rPr>
              <w:t xml:space="preserve">Cererea nr. </w:t>
            </w:r>
            <w:hyperlink r:id="rId15" w:history="1">
              <w:r w:rsidRPr="00607149">
                <w:rPr>
                  <w:rStyle w:val="af4"/>
                  <w:i/>
                  <w:lang w:val="ro-MD"/>
                </w:rPr>
                <w:t>7359/06</w:t>
              </w:r>
            </w:hyperlink>
            <w:r w:rsidRPr="00423439">
              <w:rPr>
                <w:b/>
                <w:bCs/>
                <w:i/>
                <w:lang w:val="ro-MD"/>
              </w:rPr>
              <w:t>)</w:t>
            </w:r>
          </w:p>
          <w:p w14:paraId="025FE96F" w14:textId="462474E8" w:rsidR="004F223B" w:rsidRPr="00423439" w:rsidRDefault="00513C76" w:rsidP="00C542B4">
            <w:pPr>
              <w:spacing w:before="120" w:after="120"/>
              <w:jc w:val="center"/>
              <w:rPr>
                <w:b/>
                <w:bCs/>
                <w:lang w:val="ro-MD"/>
              </w:rPr>
            </w:pPr>
            <w:r w:rsidRPr="00423439">
              <w:rPr>
                <w:b/>
                <w:bCs/>
                <w:lang w:val="ro-MD"/>
              </w:rPr>
              <w:t>29 octombrie 2013</w:t>
            </w:r>
          </w:p>
        </w:tc>
        <w:tc>
          <w:tcPr>
            <w:tcW w:w="992" w:type="dxa"/>
            <w:tcBorders>
              <w:top w:val="single" w:sz="12" w:space="0" w:color="auto"/>
            </w:tcBorders>
          </w:tcPr>
          <w:p w14:paraId="348AF2C9" w14:textId="3B50F8BA" w:rsidR="004F223B" w:rsidRPr="00423439" w:rsidRDefault="004F223B" w:rsidP="00C542B4">
            <w:pPr>
              <w:spacing w:before="120" w:after="120"/>
              <w:jc w:val="center"/>
              <w:rPr>
                <w:lang w:val="ro-MD"/>
              </w:rPr>
            </w:pPr>
            <w:r w:rsidRPr="00423439">
              <w:rPr>
                <w:lang w:val="ro-MD"/>
              </w:rPr>
              <w:t>c. MD</w:t>
            </w:r>
          </w:p>
        </w:tc>
        <w:tc>
          <w:tcPr>
            <w:tcW w:w="992" w:type="dxa"/>
            <w:tcBorders>
              <w:top w:val="single" w:sz="12" w:space="0" w:color="auto"/>
            </w:tcBorders>
          </w:tcPr>
          <w:p w14:paraId="4F923B9D" w14:textId="3805D4D2" w:rsidR="00153A42" w:rsidRPr="00423439" w:rsidRDefault="00153A42" w:rsidP="00C542B4">
            <w:pPr>
              <w:spacing w:before="120" w:after="120"/>
              <w:jc w:val="center"/>
              <w:rPr>
                <w:lang w:val="ro-MD"/>
              </w:rPr>
            </w:pPr>
            <w:r w:rsidRPr="00423439">
              <w:rPr>
                <w:lang w:val="ro-MD"/>
              </w:rPr>
              <w:t>6</w:t>
            </w:r>
          </w:p>
          <w:p w14:paraId="0E4D46E7" w14:textId="13C033DC" w:rsidR="004F223B" w:rsidRPr="00423439" w:rsidRDefault="00153A42" w:rsidP="00C542B4">
            <w:pPr>
              <w:spacing w:before="120" w:after="120"/>
              <w:jc w:val="center"/>
              <w:rPr>
                <w:lang w:val="ro-MD"/>
              </w:rPr>
            </w:pPr>
            <w:r w:rsidRPr="00423439">
              <w:rPr>
                <w:lang w:val="ro-MD"/>
              </w:rPr>
              <w:t>6 § 1</w:t>
            </w:r>
          </w:p>
          <w:p w14:paraId="5190C9FC" w14:textId="51E02EF1" w:rsidR="00153A42" w:rsidRPr="00423439" w:rsidRDefault="00153A42" w:rsidP="00C542B4">
            <w:pPr>
              <w:spacing w:before="120" w:after="120"/>
              <w:jc w:val="center"/>
              <w:rPr>
                <w:lang w:val="ro-MD"/>
              </w:rPr>
            </w:pPr>
            <w:r w:rsidRPr="00423439">
              <w:rPr>
                <w:lang w:val="ro-MD"/>
              </w:rPr>
              <w:t>Art. 1 Prot 1</w:t>
            </w:r>
          </w:p>
        </w:tc>
        <w:tc>
          <w:tcPr>
            <w:tcW w:w="709" w:type="dxa"/>
            <w:tcBorders>
              <w:top w:val="single" w:sz="12" w:space="0" w:color="auto"/>
            </w:tcBorders>
          </w:tcPr>
          <w:p w14:paraId="3AA1A589" w14:textId="64EBFE69" w:rsidR="004F223B" w:rsidRPr="00423439" w:rsidRDefault="003B5C09" w:rsidP="00C542B4">
            <w:pPr>
              <w:spacing w:before="120" w:after="120"/>
              <w:jc w:val="center"/>
              <w:rPr>
                <w:lang w:val="ro-MD"/>
              </w:rPr>
            </w:pPr>
            <w:r w:rsidRPr="00423439">
              <w:rPr>
                <w:lang w:val="ro-MD"/>
              </w:rPr>
              <w:t>-</w:t>
            </w:r>
          </w:p>
        </w:tc>
        <w:tc>
          <w:tcPr>
            <w:tcW w:w="1276" w:type="dxa"/>
            <w:tcBorders>
              <w:top w:val="single" w:sz="12" w:space="0" w:color="auto"/>
            </w:tcBorders>
          </w:tcPr>
          <w:p w14:paraId="66583C34" w14:textId="054197EC" w:rsidR="004F223B" w:rsidRPr="00423439" w:rsidRDefault="003B5C09" w:rsidP="00C542B4">
            <w:pPr>
              <w:spacing w:before="120" w:after="120"/>
              <w:jc w:val="center"/>
              <w:rPr>
                <w:lang w:val="ro-MD"/>
              </w:rPr>
            </w:pPr>
            <w:r w:rsidRPr="00423439">
              <w:rPr>
                <w:lang w:val="ro-MD"/>
              </w:rPr>
              <w:t>Inspectoratul Fiscal de Stat, produselor chimice, Zona Antreprenoriatului Liber Expo-Business-Chişinău</w:t>
            </w:r>
            <w:r w:rsidR="00153A42" w:rsidRPr="00423439">
              <w:rPr>
                <w:lang w:val="ro-MD"/>
              </w:rPr>
              <w:t>, amendă, revizuire</w:t>
            </w:r>
          </w:p>
        </w:tc>
        <w:tc>
          <w:tcPr>
            <w:tcW w:w="6095" w:type="dxa"/>
            <w:tcBorders>
              <w:top w:val="single" w:sz="12" w:space="0" w:color="auto"/>
            </w:tcBorders>
          </w:tcPr>
          <w:p w14:paraId="1F8F05A6" w14:textId="78636BB0" w:rsidR="00153A42" w:rsidRPr="00423439" w:rsidRDefault="00153A42" w:rsidP="00C542B4">
            <w:pPr>
              <w:spacing w:before="120" w:after="120"/>
              <w:jc w:val="center"/>
              <w:rPr>
                <w:lang w:val="ro-MD"/>
              </w:rPr>
            </w:pPr>
            <w:r w:rsidRPr="00423439">
              <w:rPr>
                <w:lang w:val="ro-MD"/>
              </w:rPr>
              <w:t>23. Curtea menţionează în acest sens, că Guvernul nu a contestat aplicabilitatea Articolului 6 din Convenţie procedurilor în prezenta cauză. Ea, de asemenea, menţionează că amenda impusă companiei reclamante a avut mai mult ca scop pedepsirea pentru a stopa repetarea încălcării, decît compensaţia pecuniară. În aceste circumstanţe, şi în măsura în care procedurile se referă la amenda impusă, Curtea consideră că Articolul 6 se aplică sub aspectul său penal prezentei cause.</w:t>
            </w:r>
          </w:p>
          <w:p w14:paraId="111B8059" w14:textId="68C8B6CC" w:rsidR="00153A42" w:rsidRPr="00423439" w:rsidRDefault="00153A42" w:rsidP="00C542B4">
            <w:pPr>
              <w:spacing w:before="120" w:after="120"/>
              <w:jc w:val="center"/>
              <w:rPr>
                <w:lang w:val="ro-MD"/>
              </w:rPr>
            </w:pPr>
            <w:r w:rsidRPr="00423439">
              <w:rPr>
                <w:lang w:val="ro-MD"/>
              </w:rPr>
              <w:t>28. [..]  Cu toate acestea, deciziile de revizuire a hotărîrilor judecătoreşti definitive trebuie să fie în conformitate cu criteriile statutare relevante şi utilizarea necorespunzătoare a unei astfel de proceduri poate de asemenea fi contrară prevederilor Convenţiei ţinînd cont că rezultatul său – “pierderea” hotărîrii judecătoreşti – este aceeaşi ca a unei cereri de anulare. Principiul securităţii raporturilor juridice şi preemţiunii dreptului obligă Curtea să fie vigilentă în acest domeniu.</w:t>
            </w:r>
          </w:p>
          <w:p w14:paraId="620A8303" w14:textId="407CB794" w:rsidR="00153A42" w:rsidRPr="00423439" w:rsidRDefault="00153A42" w:rsidP="00C542B4">
            <w:pPr>
              <w:spacing w:before="120" w:after="120"/>
              <w:jc w:val="center"/>
              <w:rPr>
                <w:lang w:val="ro-MD"/>
              </w:rPr>
            </w:pPr>
            <w:r w:rsidRPr="00423439">
              <w:rPr>
                <w:lang w:val="ro-MD"/>
              </w:rPr>
              <w:t>32. Curtea menţionează în primul rînd, că în conformitate cu secţiunea 45 din Legea de interpretare,</w:t>
            </w:r>
            <w:r w:rsidRPr="00607149">
              <w:rPr>
                <w:b/>
                <w:bCs/>
                <w:lang w:val="ro-MD"/>
              </w:rPr>
              <w:t xml:space="preserve"> o lege care interpretează altă lege nu poate avea efect retroactiv</w:t>
            </w:r>
            <w:r w:rsidRPr="00423439">
              <w:rPr>
                <w:lang w:val="ro-MD"/>
              </w:rPr>
              <w:t xml:space="preserve"> şi că, prin urmare, interpretarea nouă a Parlamentului asupra Regulamentului ZAL din 20 octombrie 2005 nu putea, de </w:t>
            </w:r>
            <w:r w:rsidRPr="00423439">
              <w:rPr>
                <w:lang w:val="ro-MD"/>
              </w:rPr>
              <w:lastRenderedPageBreak/>
              <w:t>regulă afecta statutul litigiului finalizat cu hotărîrea definitivă adoptată cu 3 ani mai devreme.</w:t>
            </w:r>
          </w:p>
        </w:tc>
        <w:tc>
          <w:tcPr>
            <w:tcW w:w="4111" w:type="dxa"/>
            <w:tcBorders>
              <w:top w:val="single" w:sz="12" w:space="0" w:color="auto"/>
              <w:right w:val="single" w:sz="12" w:space="0" w:color="auto"/>
            </w:tcBorders>
          </w:tcPr>
          <w:p w14:paraId="4DC6EA81" w14:textId="6D21EED3" w:rsidR="00153A42" w:rsidRPr="00423439" w:rsidRDefault="00153A42" w:rsidP="00C542B4">
            <w:pPr>
              <w:spacing w:before="120" w:line="276" w:lineRule="auto"/>
              <w:jc w:val="center"/>
              <w:rPr>
                <w:lang w:val="ro-MD"/>
              </w:rPr>
            </w:pPr>
            <w:r w:rsidRPr="00423439">
              <w:rPr>
                <w:lang w:val="ro-MD"/>
              </w:rPr>
              <w:lastRenderedPageBreak/>
              <w:t>Declară plîngerile în temeiul Articolului 6, a existat o violare a Articolului 6 § 1 din Convenţie şi în temeiul Articolului 1 din Protocolul 1 la Convenţie ca admisibile.</w:t>
            </w:r>
          </w:p>
          <w:p w14:paraId="4850E80D" w14:textId="417F5AB0" w:rsidR="004F223B" w:rsidRPr="00423439" w:rsidRDefault="00153A42" w:rsidP="00C542B4">
            <w:pPr>
              <w:spacing w:before="120" w:line="276" w:lineRule="auto"/>
              <w:jc w:val="center"/>
              <w:rPr>
                <w:lang w:val="ro-MD"/>
              </w:rPr>
            </w:pPr>
            <w:r w:rsidRPr="00423439">
              <w:rPr>
                <w:lang w:val="ro-MD"/>
              </w:rPr>
              <w:t>Curtea consideră că nu poate fi luată o decizie cu referire la aplicarea Articolul 41. Chestiunea urmează, astfel, să fie rezervată şi stabilită o nouă procedură, cu posibilitatea încheierii unui acord între Guvernul Republicii Moldova şi compania reclamantă.</w:t>
            </w:r>
          </w:p>
        </w:tc>
      </w:tr>
      <w:tr w:rsidR="004F223B" w:rsidRPr="00423439" w14:paraId="3A9989CE" w14:textId="77777777" w:rsidTr="00C542B4">
        <w:trPr>
          <w:trHeight w:val="1388"/>
        </w:trPr>
        <w:tc>
          <w:tcPr>
            <w:tcW w:w="557" w:type="dxa"/>
            <w:tcBorders>
              <w:top w:val="single" w:sz="12" w:space="0" w:color="auto"/>
              <w:left w:val="single" w:sz="12" w:space="0" w:color="auto"/>
            </w:tcBorders>
          </w:tcPr>
          <w:p w14:paraId="65B908AA" w14:textId="1694131E" w:rsidR="004F223B" w:rsidRPr="00423439" w:rsidRDefault="004F223B" w:rsidP="00C542B4">
            <w:pPr>
              <w:spacing w:before="120" w:after="120"/>
              <w:jc w:val="center"/>
              <w:rPr>
                <w:b/>
                <w:bCs/>
                <w:lang w:val="ro-MD"/>
              </w:rPr>
            </w:pPr>
            <w:r w:rsidRPr="00423439">
              <w:rPr>
                <w:b/>
                <w:bCs/>
                <w:lang w:val="ro-MD"/>
              </w:rPr>
              <w:t>9)</w:t>
            </w:r>
          </w:p>
        </w:tc>
        <w:tc>
          <w:tcPr>
            <w:tcW w:w="1413" w:type="dxa"/>
            <w:tcBorders>
              <w:top w:val="single" w:sz="12" w:space="0" w:color="auto"/>
            </w:tcBorders>
          </w:tcPr>
          <w:p w14:paraId="548079D6" w14:textId="77777777" w:rsidR="004F223B" w:rsidRPr="00423439" w:rsidRDefault="00153A42" w:rsidP="00C542B4">
            <w:pPr>
              <w:spacing w:before="120" w:after="120"/>
              <w:jc w:val="center"/>
              <w:rPr>
                <w:b/>
                <w:bCs/>
                <w:lang w:val="ro-MD"/>
              </w:rPr>
            </w:pPr>
            <w:r w:rsidRPr="00423439">
              <w:rPr>
                <w:b/>
                <w:bCs/>
                <w:lang w:val="ro-MD"/>
              </w:rPr>
              <w:t>Boboc și alții v. Republica Moldova</w:t>
            </w:r>
          </w:p>
          <w:p w14:paraId="4BCCEA05" w14:textId="33C15C70" w:rsidR="00153A42" w:rsidRPr="00423439" w:rsidRDefault="00607149" w:rsidP="00C542B4">
            <w:pPr>
              <w:spacing w:before="120" w:after="120"/>
              <w:jc w:val="center"/>
              <w:rPr>
                <w:b/>
                <w:bCs/>
                <w:lang w:val="ro-MD"/>
              </w:rPr>
            </w:pPr>
            <w:r>
              <w:rPr>
                <w:b/>
                <w:bCs/>
                <w:i/>
                <w:iCs/>
                <w:lang w:val="ro-MD"/>
              </w:rPr>
              <w:t>(</w:t>
            </w:r>
            <w:r w:rsidR="00153A42" w:rsidRPr="00607149">
              <w:rPr>
                <w:i/>
                <w:iCs/>
                <w:lang w:val="ro-MD"/>
              </w:rPr>
              <w:t>Cererea nr. </w:t>
            </w:r>
            <w:hyperlink r:id="rId16" w:anchor="{%22appno%22:[%2244592/16%22]}" w:tgtFrame="_blank" w:history="1">
              <w:r w:rsidR="00153A42" w:rsidRPr="00607149">
                <w:rPr>
                  <w:rStyle w:val="af4"/>
                  <w:i/>
                  <w:iCs/>
                  <w:lang w:val="ro-MD"/>
                </w:rPr>
                <w:t>44592/16</w:t>
              </w:r>
            </w:hyperlink>
            <w:r w:rsidR="00153A42" w:rsidRPr="00423439">
              <w:rPr>
                <w:b/>
                <w:bCs/>
                <w:lang w:val="ro-MD"/>
              </w:rPr>
              <w:t>)</w:t>
            </w:r>
          </w:p>
          <w:p w14:paraId="068E409F" w14:textId="0210CC4B" w:rsidR="00153A42" w:rsidRPr="00423439" w:rsidRDefault="00153A42" w:rsidP="00C542B4">
            <w:pPr>
              <w:spacing w:before="120" w:after="120"/>
              <w:jc w:val="center"/>
              <w:rPr>
                <w:b/>
                <w:bCs/>
                <w:lang w:val="ro-MD"/>
              </w:rPr>
            </w:pPr>
            <w:r w:rsidRPr="00423439">
              <w:rPr>
                <w:b/>
                <w:bCs/>
                <w:lang w:val="ro-MD"/>
              </w:rPr>
              <w:t>7 iunie 2022</w:t>
            </w:r>
          </w:p>
        </w:tc>
        <w:tc>
          <w:tcPr>
            <w:tcW w:w="992" w:type="dxa"/>
            <w:tcBorders>
              <w:top w:val="single" w:sz="12" w:space="0" w:color="auto"/>
            </w:tcBorders>
          </w:tcPr>
          <w:p w14:paraId="1A51C597" w14:textId="2F487C2E" w:rsidR="004F223B" w:rsidRPr="00423439" w:rsidRDefault="004F223B" w:rsidP="00C542B4">
            <w:pPr>
              <w:spacing w:before="120" w:after="120"/>
              <w:jc w:val="center"/>
              <w:rPr>
                <w:lang w:val="ro-MD"/>
              </w:rPr>
            </w:pPr>
            <w:r w:rsidRPr="00423439">
              <w:rPr>
                <w:lang w:val="ro-MD"/>
              </w:rPr>
              <w:t>c. MD</w:t>
            </w:r>
          </w:p>
        </w:tc>
        <w:tc>
          <w:tcPr>
            <w:tcW w:w="992" w:type="dxa"/>
            <w:tcBorders>
              <w:top w:val="single" w:sz="12" w:space="0" w:color="auto"/>
            </w:tcBorders>
          </w:tcPr>
          <w:p w14:paraId="5D6F2436" w14:textId="4F5E47C6" w:rsidR="00153A42" w:rsidRPr="00423439" w:rsidRDefault="00153A42" w:rsidP="00C542B4">
            <w:pPr>
              <w:spacing w:before="120" w:after="120"/>
              <w:jc w:val="center"/>
              <w:rPr>
                <w:lang w:val="ro-MD"/>
              </w:rPr>
            </w:pPr>
            <w:r w:rsidRPr="00423439">
              <w:rPr>
                <w:lang w:val="ro-MD"/>
              </w:rPr>
              <w:t> 2</w:t>
            </w:r>
          </w:p>
          <w:p w14:paraId="0BCD1E56" w14:textId="35364415" w:rsidR="00153A42" w:rsidRPr="00423439" w:rsidRDefault="00153A42" w:rsidP="00C542B4">
            <w:pPr>
              <w:spacing w:before="120" w:after="120"/>
              <w:jc w:val="center"/>
              <w:rPr>
                <w:lang w:val="ro-MD"/>
              </w:rPr>
            </w:pPr>
            <w:r w:rsidRPr="00423439">
              <w:rPr>
                <w:lang w:val="ro-MD"/>
              </w:rPr>
              <w:t>2 § 1</w:t>
            </w:r>
          </w:p>
          <w:p w14:paraId="5711803D" w14:textId="7DDEB5B6" w:rsidR="00153A42" w:rsidRPr="00423439" w:rsidRDefault="00153A42" w:rsidP="00C542B4">
            <w:pPr>
              <w:spacing w:before="120" w:after="120"/>
              <w:jc w:val="center"/>
              <w:rPr>
                <w:lang w:val="ro-MD"/>
              </w:rPr>
            </w:pPr>
            <w:r w:rsidRPr="00423439">
              <w:rPr>
                <w:lang w:val="ro-MD"/>
              </w:rPr>
              <w:t>2 § 2</w:t>
            </w:r>
          </w:p>
          <w:p w14:paraId="4E1603AD" w14:textId="77777777" w:rsidR="004F223B" w:rsidRPr="00423439" w:rsidRDefault="004F223B" w:rsidP="00C542B4">
            <w:pPr>
              <w:spacing w:before="120" w:after="120"/>
              <w:jc w:val="center"/>
              <w:rPr>
                <w:lang w:val="ro-MD"/>
              </w:rPr>
            </w:pPr>
          </w:p>
        </w:tc>
        <w:tc>
          <w:tcPr>
            <w:tcW w:w="709" w:type="dxa"/>
            <w:tcBorders>
              <w:top w:val="single" w:sz="12" w:space="0" w:color="auto"/>
            </w:tcBorders>
          </w:tcPr>
          <w:p w14:paraId="3D97EB2D" w14:textId="63EE1062" w:rsidR="004F223B" w:rsidRPr="00423439" w:rsidRDefault="00153A42" w:rsidP="00C542B4">
            <w:pPr>
              <w:spacing w:before="120" w:after="120"/>
              <w:jc w:val="center"/>
              <w:rPr>
                <w:lang w:val="ro-MD"/>
              </w:rPr>
            </w:pPr>
            <w:r w:rsidRPr="00423439">
              <w:rPr>
                <w:lang w:val="ro-MD"/>
              </w:rPr>
              <w:t>-</w:t>
            </w:r>
          </w:p>
        </w:tc>
        <w:tc>
          <w:tcPr>
            <w:tcW w:w="1276" w:type="dxa"/>
            <w:tcBorders>
              <w:top w:val="single" w:sz="12" w:space="0" w:color="auto"/>
            </w:tcBorders>
          </w:tcPr>
          <w:p w14:paraId="0825E356" w14:textId="1835758C" w:rsidR="004F223B" w:rsidRPr="00423439" w:rsidRDefault="00AD71E9" w:rsidP="00C542B4">
            <w:pPr>
              <w:spacing w:before="120" w:after="120"/>
              <w:jc w:val="center"/>
              <w:rPr>
                <w:lang w:val="ro-MD"/>
              </w:rPr>
            </w:pPr>
            <w:r w:rsidRPr="00423439">
              <w:rPr>
                <w:lang w:val="ro-MD"/>
              </w:rPr>
              <w:t>Bătaia până la moartea soțului și fiului reclamanților de către poliție în timpul protestelor în masă, Utilizarea forței nu este absolut necesară,  Anchetă ineficientă</w:t>
            </w:r>
          </w:p>
        </w:tc>
        <w:tc>
          <w:tcPr>
            <w:tcW w:w="6095" w:type="dxa"/>
            <w:tcBorders>
              <w:top w:val="single" w:sz="12" w:space="0" w:color="auto"/>
            </w:tcBorders>
          </w:tcPr>
          <w:p w14:paraId="5EAA76D7" w14:textId="77777777" w:rsidR="004F223B" w:rsidRPr="00423439" w:rsidRDefault="00AD71E9" w:rsidP="00C542B4">
            <w:pPr>
              <w:spacing w:before="120" w:after="120"/>
              <w:jc w:val="center"/>
              <w:rPr>
                <w:lang w:val="ro-MD"/>
              </w:rPr>
            </w:pPr>
            <w:bookmarkStart w:id="3" w:name="p44"/>
            <w:r w:rsidRPr="00423439">
              <w:rPr>
                <w:lang w:val="ro-MD"/>
              </w:rPr>
              <w:t>44.</w:t>
            </w:r>
            <w:bookmarkEnd w:id="3"/>
            <w:r w:rsidRPr="00423439">
              <w:rPr>
                <w:lang w:val="ro-MD"/>
              </w:rPr>
              <w:t> Conform jurisprudenței sale, Curtea trebuie să examineze planificarea și controlul unei operațiuni de poliție care a dus la moartea uneia sau mai multor persoane pentru a evalua dacă, în circumstanțele specifice ale cauzei, autoritățile au luat măsurile adecvate pentru a se asigura că orice risc la adresa vieții a fost redus la minimum și nu au fost neglijente în alegerea acțiunii lor.</w:t>
            </w:r>
          </w:p>
          <w:p w14:paraId="070D1F5F" w14:textId="1C0415DF" w:rsidR="00AD71E9" w:rsidRPr="00423439" w:rsidRDefault="00AD71E9" w:rsidP="00C542B4">
            <w:pPr>
              <w:spacing w:before="120" w:after="120"/>
              <w:jc w:val="center"/>
              <w:rPr>
                <w:lang w:val="ro-MD"/>
              </w:rPr>
            </w:pPr>
            <w:bookmarkStart w:id="4" w:name="_Hlk103614120"/>
            <w:r w:rsidRPr="00423439">
              <w:rPr>
                <w:lang w:val="ro-MD"/>
              </w:rPr>
              <w:t>51. Având în vedere concluziile clare formulate de experți, care demonstrează o legătură directă între forța aplicată domnului Boboc și moartea acestuia și absența oricărui dezacord între părți cu privire la cauza morții domnului Boboc, Curtea concluzionează că a avut loc o încălcare a aspectului material al articolului 2 în prezenta cauză. </w:t>
            </w:r>
            <w:bookmarkEnd w:id="4"/>
          </w:p>
          <w:p w14:paraId="20CFF8C3" w14:textId="63C7D60A" w:rsidR="00AD71E9" w:rsidRPr="00423439" w:rsidRDefault="00AD71E9" w:rsidP="00C542B4">
            <w:pPr>
              <w:spacing w:before="120" w:after="120"/>
              <w:jc w:val="center"/>
              <w:rPr>
                <w:lang w:val="ro-MD"/>
              </w:rPr>
            </w:pPr>
            <w:r w:rsidRPr="00423439">
              <w:rPr>
                <w:lang w:val="ro-MD"/>
              </w:rPr>
              <w:t xml:space="preserve">56. Cu toate acestea, </w:t>
            </w:r>
            <w:r w:rsidRPr="00607149">
              <w:rPr>
                <w:b/>
                <w:bCs/>
                <w:lang w:val="ro-MD"/>
              </w:rPr>
              <w:t>modul în care procuratura și instanțele au tratat acest caz particular reflectă poziția aparentă a autorităților conform căreia astfel de aspecte nu erau importante pentru investigarea completă a morții domnului Boboc</w:t>
            </w:r>
            <w:r w:rsidRPr="00423439">
              <w:rPr>
                <w:lang w:val="ro-MD"/>
              </w:rPr>
              <w:t xml:space="preserve">. Curtea consideră că excluderea reclamanților din toate anchetele penale, cu excepția celei </w:t>
            </w:r>
            <w:r w:rsidRPr="00423439">
              <w:rPr>
                <w:lang w:val="ro-MD"/>
              </w:rPr>
              <w:lastRenderedPageBreak/>
              <w:t>privind IP, le-a împiedicat participarea la soluționarea uneia dintre problemele fundamentale privind moartea rudei lor, și anume presupusa toleranță oficială, sau chiar instigarea de către conducerea diferitelor instituții ale statului, a tipului de comportament care a dus la moartea domnului Boboc. Mai mult, fiind achitat de instanța de fond, IP nu a fost supus niciunei măsuri preventive în așteptarea apelului formulat de procuratură, cum ar fi confiscarea pașaportului său. Acest lucru i-a permis să se sustragă și să evite efectiv orice pedeapsă.  </w:t>
            </w:r>
          </w:p>
          <w:p w14:paraId="308F0062" w14:textId="29C24272" w:rsidR="00AD71E9" w:rsidRPr="00423439" w:rsidRDefault="00AD71E9" w:rsidP="00C542B4">
            <w:pPr>
              <w:spacing w:before="120" w:after="120"/>
              <w:jc w:val="center"/>
              <w:rPr>
                <w:lang w:val="ro-MD"/>
              </w:rPr>
            </w:pPr>
            <w:bookmarkStart w:id="5" w:name="p_56_summary_proced_shortcomings"/>
            <w:r w:rsidRPr="00423439">
              <w:rPr>
                <w:lang w:val="ro-MD"/>
              </w:rPr>
              <w:t>57.</w:t>
            </w:r>
            <w:bookmarkEnd w:id="5"/>
            <w:r w:rsidRPr="00423439">
              <w:rPr>
                <w:lang w:val="ro-MD"/>
              </w:rPr>
              <w:t xml:space="preserve"> Curtea consideră că, având în vedere întârzierile inexplicabile în soluționarea unor aspecte importante, cum ar fi examinarea înregistrărilor video ale evenimentelor și tratarea cazului în general, neinstituirea unui sistem de identificare post-factum a ofițerilor mascați, precum și refuzul complet al accesului la alte anchete decât cea privind proprietatea intelectuală, </w:t>
            </w:r>
            <w:r w:rsidRPr="00607149">
              <w:rPr>
                <w:b/>
                <w:bCs/>
                <w:lang w:val="ro-MD"/>
              </w:rPr>
              <w:t>autoritățile nu au asigurat o anchetă eficientă cu privire la toate aspectele morții domnului Boboc</w:t>
            </w:r>
            <w:r w:rsidRPr="00423439">
              <w:rPr>
                <w:lang w:val="ro-MD"/>
              </w:rPr>
              <w:t>.</w:t>
            </w:r>
          </w:p>
        </w:tc>
        <w:tc>
          <w:tcPr>
            <w:tcW w:w="4111" w:type="dxa"/>
            <w:tcBorders>
              <w:top w:val="single" w:sz="12" w:space="0" w:color="auto"/>
              <w:right w:val="single" w:sz="12" w:space="0" w:color="auto"/>
            </w:tcBorders>
          </w:tcPr>
          <w:p w14:paraId="5CEC5492" w14:textId="5EDB7597" w:rsidR="00AD71E9" w:rsidRPr="00423439" w:rsidRDefault="00AD71E9" w:rsidP="00C542B4">
            <w:pPr>
              <w:spacing w:before="120" w:line="276" w:lineRule="auto"/>
              <w:jc w:val="center"/>
              <w:rPr>
                <w:lang w:val="ro-MD"/>
              </w:rPr>
            </w:pPr>
            <w:r w:rsidRPr="00423439">
              <w:rPr>
                <w:lang w:val="ro-MD"/>
              </w:rPr>
              <w:lastRenderedPageBreak/>
              <w:t>A avut loc o încălcare a articolului 2 din Convenție, atât în ​​aspectul său substanțial, cât și în cel procedural + 50.000 EUR (cincizeci de mii de euro), plus orice impozit care poate fi perceput, pentru prejudiciul moral cauzat; 7.000 EUR (șapte mii de euro), plus orice taxă care poate fi datorată reclamanților, cu titlu de costuri și cheltuieli;</w:t>
            </w:r>
          </w:p>
          <w:p w14:paraId="790E7488" w14:textId="71755E58" w:rsidR="004F223B" w:rsidRPr="00423439" w:rsidRDefault="004F223B" w:rsidP="00C542B4">
            <w:pPr>
              <w:spacing w:before="120" w:line="276" w:lineRule="auto"/>
              <w:jc w:val="center"/>
              <w:rPr>
                <w:lang w:val="ro-MD"/>
              </w:rPr>
            </w:pPr>
          </w:p>
        </w:tc>
      </w:tr>
      <w:tr w:rsidR="004F223B" w:rsidRPr="00423439" w14:paraId="5D5B2E42" w14:textId="77777777" w:rsidTr="00C542B4">
        <w:trPr>
          <w:trHeight w:val="2160"/>
        </w:trPr>
        <w:tc>
          <w:tcPr>
            <w:tcW w:w="557" w:type="dxa"/>
            <w:tcBorders>
              <w:top w:val="single" w:sz="12" w:space="0" w:color="auto"/>
              <w:left w:val="single" w:sz="12" w:space="0" w:color="auto"/>
            </w:tcBorders>
          </w:tcPr>
          <w:p w14:paraId="6EB5507C" w14:textId="330F0C45" w:rsidR="004F223B" w:rsidRPr="00423439" w:rsidRDefault="004F223B" w:rsidP="00C542B4">
            <w:pPr>
              <w:spacing w:before="120" w:after="120"/>
              <w:jc w:val="center"/>
              <w:rPr>
                <w:b/>
                <w:bCs/>
                <w:lang w:val="ro-MD"/>
              </w:rPr>
            </w:pPr>
            <w:r w:rsidRPr="00423439">
              <w:rPr>
                <w:b/>
                <w:bCs/>
                <w:lang w:val="ro-MD"/>
              </w:rPr>
              <w:t>10)</w:t>
            </w:r>
          </w:p>
        </w:tc>
        <w:tc>
          <w:tcPr>
            <w:tcW w:w="1413" w:type="dxa"/>
            <w:tcBorders>
              <w:top w:val="single" w:sz="12" w:space="0" w:color="auto"/>
            </w:tcBorders>
          </w:tcPr>
          <w:p w14:paraId="0B76F4A4" w14:textId="5FE7B3FB" w:rsidR="00AD71E9" w:rsidRPr="00423439" w:rsidRDefault="00AD71E9" w:rsidP="00C542B4">
            <w:pPr>
              <w:spacing w:before="120" w:after="120"/>
              <w:jc w:val="center"/>
              <w:rPr>
                <w:b/>
                <w:bCs/>
                <w:lang w:val="ro-MD"/>
              </w:rPr>
            </w:pPr>
            <w:r w:rsidRPr="00423439">
              <w:rPr>
                <w:b/>
                <w:bCs/>
                <w:lang w:val="ro-MD"/>
              </w:rPr>
              <w:t>Veretko v. Republica Moldova</w:t>
            </w:r>
          </w:p>
          <w:p w14:paraId="6D93E6A1" w14:textId="5BD6376A" w:rsidR="00AD71E9" w:rsidRPr="00423439" w:rsidRDefault="00AD71E9" w:rsidP="00C542B4">
            <w:pPr>
              <w:spacing w:before="120" w:after="120"/>
              <w:jc w:val="center"/>
              <w:rPr>
                <w:b/>
                <w:bCs/>
                <w:lang w:val="ro-MD"/>
              </w:rPr>
            </w:pPr>
            <w:r w:rsidRPr="00423439">
              <w:rPr>
                <w:b/>
                <w:bCs/>
                <w:i/>
                <w:iCs/>
                <w:lang w:val="ro-MD"/>
              </w:rPr>
              <w:t>(</w:t>
            </w:r>
            <w:r w:rsidRPr="00607149">
              <w:rPr>
                <w:i/>
                <w:iCs/>
                <w:lang w:val="ro-MD"/>
              </w:rPr>
              <w:t>Cererea nr. </w:t>
            </w:r>
            <w:hyperlink r:id="rId17" w:anchor="{%22appno%22:[%22679/13%22]}" w:tgtFrame="_blank" w:history="1">
              <w:r w:rsidRPr="00607149">
                <w:rPr>
                  <w:rStyle w:val="af4"/>
                  <w:i/>
                  <w:iCs/>
                  <w:lang w:val="ro-MD"/>
                </w:rPr>
                <w:t>679/13</w:t>
              </w:r>
            </w:hyperlink>
            <w:r w:rsidRPr="00423439">
              <w:rPr>
                <w:b/>
                <w:bCs/>
                <w:i/>
                <w:iCs/>
                <w:lang w:val="ro-MD"/>
              </w:rPr>
              <w:t>)</w:t>
            </w:r>
          </w:p>
          <w:p w14:paraId="3CDD85A1" w14:textId="0F70F586" w:rsidR="004F223B" w:rsidRPr="00423439" w:rsidRDefault="00607149" w:rsidP="00C542B4">
            <w:pPr>
              <w:spacing w:before="120" w:after="120"/>
              <w:jc w:val="center"/>
              <w:rPr>
                <w:b/>
                <w:bCs/>
                <w:lang w:val="ro-MD"/>
              </w:rPr>
            </w:pPr>
            <w:r w:rsidRPr="00607149">
              <w:rPr>
                <w:b/>
                <w:bCs/>
              </w:rPr>
              <w:lastRenderedPageBreak/>
              <w:t>7 aprilie 2015</w:t>
            </w:r>
          </w:p>
        </w:tc>
        <w:tc>
          <w:tcPr>
            <w:tcW w:w="992" w:type="dxa"/>
            <w:tcBorders>
              <w:top w:val="single" w:sz="12" w:space="0" w:color="auto"/>
            </w:tcBorders>
          </w:tcPr>
          <w:p w14:paraId="195C5093" w14:textId="0E0A8FFE" w:rsidR="004F223B" w:rsidRPr="00423439" w:rsidRDefault="004F223B" w:rsidP="00C542B4">
            <w:pPr>
              <w:spacing w:before="120" w:after="120"/>
              <w:jc w:val="center"/>
              <w:rPr>
                <w:lang w:val="ro-MD"/>
              </w:rPr>
            </w:pPr>
            <w:r w:rsidRPr="00423439">
              <w:rPr>
                <w:lang w:val="ro-MD"/>
              </w:rPr>
              <w:lastRenderedPageBreak/>
              <w:t>c. MD</w:t>
            </w:r>
          </w:p>
        </w:tc>
        <w:tc>
          <w:tcPr>
            <w:tcW w:w="992" w:type="dxa"/>
            <w:tcBorders>
              <w:top w:val="single" w:sz="12" w:space="0" w:color="auto"/>
            </w:tcBorders>
          </w:tcPr>
          <w:p w14:paraId="17703217" w14:textId="77777777" w:rsidR="00AD71E9" w:rsidRPr="00423439" w:rsidRDefault="00AD71E9" w:rsidP="00C542B4">
            <w:pPr>
              <w:spacing w:before="120" w:after="120"/>
              <w:jc w:val="center"/>
              <w:rPr>
                <w:lang w:val="ro-MD"/>
              </w:rPr>
            </w:pPr>
            <w:r w:rsidRPr="00423439">
              <w:rPr>
                <w:lang w:val="ro-MD"/>
              </w:rPr>
              <w:t>3</w:t>
            </w:r>
          </w:p>
          <w:p w14:paraId="463E6B8E" w14:textId="77777777" w:rsidR="00AD71E9" w:rsidRPr="00423439" w:rsidRDefault="00AD71E9" w:rsidP="00C542B4">
            <w:pPr>
              <w:spacing w:before="120" w:after="120"/>
              <w:jc w:val="center"/>
              <w:rPr>
                <w:lang w:val="ro-MD"/>
              </w:rPr>
            </w:pPr>
            <w:r w:rsidRPr="00423439">
              <w:rPr>
                <w:lang w:val="ro-MD"/>
              </w:rPr>
              <w:t>5</w:t>
            </w:r>
          </w:p>
          <w:p w14:paraId="63B10033" w14:textId="28E63467" w:rsidR="00AD71E9" w:rsidRPr="00423439" w:rsidRDefault="00AD71E9" w:rsidP="00C542B4">
            <w:pPr>
              <w:spacing w:before="120" w:after="120"/>
              <w:jc w:val="center"/>
              <w:rPr>
                <w:lang w:val="ro-MD"/>
              </w:rPr>
            </w:pPr>
            <w:r w:rsidRPr="00423439">
              <w:rPr>
                <w:lang w:val="ro-MD"/>
              </w:rPr>
              <w:t>5 § 4</w:t>
            </w:r>
          </w:p>
          <w:p w14:paraId="186187A9" w14:textId="1D94E9D7" w:rsidR="00AD71E9" w:rsidRPr="00423439" w:rsidRDefault="00AD71E9" w:rsidP="00C542B4">
            <w:pPr>
              <w:spacing w:before="120" w:after="120"/>
              <w:jc w:val="center"/>
              <w:rPr>
                <w:lang w:val="ro-MD"/>
              </w:rPr>
            </w:pPr>
            <w:r w:rsidRPr="00423439">
              <w:rPr>
                <w:lang w:val="ro-MD"/>
              </w:rPr>
              <w:t>5 § 5</w:t>
            </w:r>
          </w:p>
          <w:p w14:paraId="058BDE23" w14:textId="77777777" w:rsidR="004F223B" w:rsidRPr="00423439" w:rsidRDefault="004F223B" w:rsidP="00C542B4">
            <w:pPr>
              <w:spacing w:before="120" w:after="120"/>
              <w:jc w:val="center"/>
              <w:rPr>
                <w:lang w:val="ro-MD"/>
              </w:rPr>
            </w:pPr>
          </w:p>
        </w:tc>
        <w:tc>
          <w:tcPr>
            <w:tcW w:w="709" w:type="dxa"/>
            <w:tcBorders>
              <w:top w:val="single" w:sz="12" w:space="0" w:color="auto"/>
            </w:tcBorders>
          </w:tcPr>
          <w:p w14:paraId="61D5AA2C" w14:textId="74DB9B4B" w:rsidR="004F223B" w:rsidRPr="00423439" w:rsidRDefault="00AD71E9" w:rsidP="00C542B4">
            <w:pPr>
              <w:spacing w:before="120" w:after="120"/>
              <w:jc w:val="center"/>
              <w:rPr>
                <w:lang w:val="ro-MD"/>
              </w:rPr>
            </w:pPr>
            <w:r w:rsidRPr="00423439">
              <w:rPr>
                <w:lang w:val="ro-MD"/>
              </w:rPr>
              <w:lastRenderedPageBreak/>
              <w:t>-</w:t>
            </w:r>
          </w:p>
        </w:tc>
        <w:tc>
          <w:tcPr>
            <w:tcW w:w="1276" w:type="dxa"/>
            <w:tcBorders>
              <w:top w:val="single" w:sz="12" w:space="0" w:color="auto"/>
            </w:tcBorders>
          </w:tcPr>
          <w:p w14:paraId="5CEE426F" w14:textId="721A12CB" w:rsidR="004F223B" w:rsidRPr="00423439" w:rsidRDefault="00AD71E9" w:rsidP="00C542B4">
            <w:pPr>
              <w:spacing w:before="120" w:after="120"/>
              <w:jc w:val="center"/>
              <w:rPr>
                <w:lang w:val="ro-MD"/>
              </w:rPr>
            </w:pPr>
            <w:r w:rsidRPr="00423439">
              <w:rPr>
                <w:lang w:val="ro-MD"/>
              </w:rPr>
              <w:t xml:space="preserve">Arest, trafic de copii, tratament medical, </w:t>
            </w:r>
            <w:r w:rsidRPr="00423439">
              <w:rPr>
                <w:lang w:val="ro-MD"/>
              </w:rPr>
              <w:lastRenderedPageBreak/>
              <w:t>măsură preventivă, stare de sănătate,  bronhopneumonie posttraumatică</w:t>
            </w:r>
          </w:p>
        </w:tc>
        <w:tc>
          <w:tcPr>
            <w:tcW w:w="6095" w:type="dxa"/>
            <w:tcBorders>
              <w:top w:val="single" w:sz="12" w:space="0" w:color="auto"/>
            </w:tcBorders>
          </w:tcPr>
          <w:p w14:paraId="7F637A3A" w14:textId="77777777" w:rsidR="004F223B" w:rsidRPr="00423439" w:rsidRDefault="00AD71E9" w:rsidP="00C542B4">
            <w:pPr>
              <w:spacing w:before="120" w:after="120"/>
              <w:jc w:val="center"/>
              <w:rPr>
                <w:lang w:val="ro-MD"/>
              </w:rPr>
            </w:pPr>
            <w:r w:rsidRPr="00423439">
              <w:rPr>
                <w:lang w:val="ro-MD"/>
              </w:rPr>
              <w:lastRenderedPageBreak/>
              <w:t xml:space="preserve">18. La ședința de judecată din 30 noiembrie 2012 de la Tribunalul Centru, doctorul A. a confirmat diagnosticul reclamantului de bronhopneumonie posttraumatică și a declarat că starea sa de sănătate necesita spitalizare. Medicul a confirmat că rapoartele medicale anterioare nu conțineau o </w:t>
            </w:r>
            <w:r w:rsidRPr="00423439">
              <w:rPr>
                <w:lang w:val="ro-MD"/>
              </w:rPr>
              <w:lastRenderedPageBreak/>
              <w:t>astfel de recomandare. La aceeași ședință, reclamantul a clarificat că suferea constant de dureri cronice și nu putea dormi din cauza coastelor rupte; și că, în timpul arestării sale, i s-au administrat medicamente pentru ameliorarea durerii o singură dată. </w:t>
            </w:r>
          </w:p>
          <w:p w14:paraId="4FAC9563" w14:textId="58DAFCB4" w:rsidR="00AD71E9" w:rsidRPr="00423439" w:rsidRDefault="00AD71E9" w:rsidP="00C542B4">
            <w:pPr>
              <w:spacing w:before="120" w:after="120"/>
              <w:jc w:val="center"/>
              <w:rPr>
                <w:lang w:val="ro-MD"/>
              </w:rPr>
            </w:pPr>
            <w:r w:rsidRPr="00423439">
              <w:rPr>
                <w:lang w:val="ro-MD"/>
              </w:rPr>
              <w:t>38. În prezenta cauză, Curtea trebuie să stabilească dacă reclamantul a avut nevoie de îngrijiri medicale regulate în perioada relevantă, dacă a fost privat de acestea, așa cum susține și, în caz afirmativ, dacă acest lucru a constituit un tratament inuman și degradant, contrar articolului 3 din Convenție.</w:t>
            </w:r>
          </w:p>
          <w:p w14:paraId="758A3901" w14:textId="59AF6001" w:rsidR="00AD71E9" w:rsidRPr="00423439" w:rsidRDefault="00AD71E9" w:rsidP="00C542B4">
            <w:pPr>
              <w:spacing w:before="120" w:after="120"/>
              <w:jc w:val="center"/>
              <w:rPr>
                <w:lang w:val="ro-MD"/>
              </w:rPr>
            </w:pPr>
            <w:r w:rsidRPr="00423439">
              <w:rPr>
                <w:lang w:val="ro-MD"/>
              </w:rPr>
              <w:t>44. Curtea a constatat, de asemenea, că reclamantul și-a depus plângerile la autoritățile interne într-un moment în care acestea ar fi putut lua măsurile corespunzătoare. În plângerile sale, reclamantul și-a descris problemele de sănătate în detaliu și în mod consecvent. Autoritățile competente au avut acces la dosarele sale medicale și au fost la curent cu recomandările făcute de medicii civili cu privire la tratamentul medical necesar de către reclamant. Mai mult, din dosarul personal al reclamantului, întocmit în timp ce se afla în închisoare, reiese clar că acesta a dezvoltat o inflamație a plămânilor (pleureză bilaterală). Prin urmare, Curtea nu este convinsă de argumentele Guvernului. </w:t>
            </w:r>
          </w:p>
          <w:p w14:paraId="52B9C71C" w14:textId="636E04E5" w:rsidR="00AD71E9" w:rsidRPr="00423439" w:rsidRDefault="00AD71E9" w:rsidP="00C542B4">
            <w:pPr>
              <w:spacing w:before="120" w:after="120"/>
              <w:jc w:val="center"/>
              <w:rPr>
                <w:lang w:val="ro-MD"/>
              </w:rPr>
            </w:pPr>
            <w:r w:rsidRPr="00423439">
              <w:rPr>
                <w:lang w:val="ro-MD"/>
              </w:rPr>
              <w:lastRenderedPageBreak/>
              <w:t xml:space="preserve">45. În acest context, Curtea a observat că, în timpul detenției reclamantului, </w:t>
            </w:r>
            <w:r w:rsidRPr="00607149">
              <w:rPr>
                <w:b/>
                <w:bCs/>
                <w:lang w:val="ro-MD"/>
              </w:rPr>
              <w:t>medicii penitenciarului au verificat doar dacă acesta nu suferea de tuberculoză și sifilis. Nu există dovezi că reclamantului i s-au administrat antibiotice sau alte tratamente</w:t>
            </w:r>
            <w:r w:rsidRPr="00423439">
              <w:rPr>
                <w:lang w:val="ro-MD"/>
              </w:rPr>
              <w:t>.</w:t>
            </w:r>
          </w:p>
          <w:p w14:paraId="3B777E1B" w14:textId="31951923" w:rsidR="00AD71E9" w:rsidRPr="00483CC9" w:rsidRDefault="00AD71E9" w:rsidP="00C542B4">
            <w:pPr>
              <w:spacing w:before="120" w:after="120"/>
              <w:jc w:val="center"/>
              <w:rPr>
                <w:b/>
                <w:bCs/>
                <w:lang w:val="ro-MD"/>
              </w:rPr>
            </w:pPr>
            <w:r w:rsidRPr="00423439">
              <w:rPr>
                <w:lang w:val="ro-MD"/>
              </w:rPr>
              <w:t xml:space="preserve">56. Curtea reiterează faptul că instanța care sesizează un recurs în casație împotriva impunerii unei măsuri de arestare preventivă trebuie să se asigure că procedurile se desfășoară în conformitate cu principiile juridice fundamentale. </w:t>
            </w:r>
            <w:r w:rsidRPr="00607149">
              <w:rPr>
                <w:b/>
                <w:bCs/>
                <w:lang w:val="ro-MD"/>
              </w:rPr>
              <w:t>Părțile la procedură trebuie să acționeze în conformitate cu principiul contradictorialității și să asigure întotdeauna „egalitatea armelor” între părți - procuror și inculpat.</w:t>
            </w:r>
          </w:p>
        </w:tc>
        <w:tc>
          <w:tcPr>
            <w:tcW w:w="4111" w:type="dxa"/>
            <w:tcBorders>
              <w:top w:val="single" w:sz="12" w:space="0" w:color="auto"/>
              <w:right w:val="single" w:sz="12" w:space="0" w:color="auto"/>
            </w:tcBorders>
          </w:tcPr>
          <w:p w14:paraId="12090F01" w14:textId="66D060F7" w:rsidR="00AD71E9" w:rsidRPr="00423439" w:rsidRDefault="00AD71E9" w:rsidP="00C542B4">
            <w:pPr>
              <w:spacing w:before="120" w:line="276" w:lineRule="auto"/>
              <w:jc w:val="center"/>
              <w:rPr>
                <w:lang w:val="ro-MD"/>
              </w:rPr>
            </w:pPr>
            <w:r w:rsidRPr="00423439">
              <w:rPr>
                <w:lang w:val="ro-MD"/>
              </w:rPr>
              <w:lastRenderedPageBreak/>
              <w:t xml:space="preserve">A avut loc o încălcare a articolului 3 din Convenție; A avut loc o încălcare a articolului 5 §§ 4 și 5 din Convenție + 9.800 EUR (nouă mii opt sute de euro), cu titlu de despăgubiri pentru prejudiciu moral, plus orice taxe care pot fi percepute asupra acestei sume;  650 </w:t>
            </w:r>
            <w:r w:rsidRPr="00423439">
              <w:rPr>
                <w:lang w:val="ro-MD"/>
              </w:rPr>
              <w:lastRenderedPageBreak/>
              <w:t>EUR (șase sute cincizeci de euro) cu titlu de costuri și cheltuieli, plus orice impozit care poate fi perceput asupra acestei sume;  </w:t>
            </w:r>
          </w:p>
          <w:p w14:paraId="722DAD38" w14:textId="77777777" w:rsidR="004F223B" w:rsidRPr="00423439" w:rsidRDefault="004F223B" w:rsidP="00C542B4">
            <w:pPr>
              <w:spacing w:before="120" w:line="276" w:lineRule="auto"/>
              <w:jc w:val="center"/>
              <w:rPr>
                <w:lang w:val="ro-MD"/>
              </w:rPr>
            </w:pPr>
          </w:p>
        </w:tc>
      </w:tr>
      <w:tr w:rsidR="004F223B" w:rsidRPr="00423439" w14:paraId="359A041E" w14:textId="77777777" w:rsidTr="00C542B4">
        <w:trPr>
          <w:trHeight w:val="2160"/>
        </w:trPr>
        <w:tc>
          <w:tcPr>
            <w:tcW w:w="557" w:type="dxa"/>
            <w:tcBorders>
              <w:top w:val="single" w:sz="12" w:space="0" w:color="auto"/>
              <w:left w:val="single" w:sz="12" w:space="0" w:color="auto"/>
            </w:tcBorders>
          </w:tcPr>
          <w:p w14:paraId="667B4D99" w14:textId="218A955D" w:rsidR="004F223B" w:rsidRPr="00423439" w:rsidRDefault="004F223B" w:rsidP="00C542B4">
            <w:pPr>
              <w:spacing w:before="120" w:after="120"/>
              <w:jc w:val="center"/>
              <w:rPr>
                <w:b/>
                <w:bCs/>
                <w:lang w:val="ro-MD"/>
              </w:rPr>
            </w:pPr>
            <w:r w:rsidRPr="00423439">
              <w:rPr>
                <w:b/>
                <w:bCs/>
                <w:lang w:val="ro-MD"/>
              </w:rPr>
              <w:lastRenderedPageBreak/>
              <w:t>11)</w:t>
            </w:r>
          </w:p>
        </w:tc>
        <w:tc>
          <w:tcPr>
            <w:tcW w:w="1413" w:type="dxa"/>
            <w:tcBorders>
              <w:top w:val="single" w:sz="12" w:space="0" w:color="auto"/>
            </w:tcBorders>
          </w:tcPr>
          <w:p w14:paraId="1569A4E9" w14:textId="47E0C6AB" w:rsidR="00AD71E9" w:rsidRPr="00423439" w:rsidRDefault="00AD71E9" w:rsidP="00C542B4">
            <w:pPr>
              <w:spacing w:before="120" w:after="120"/>
              <w:jc w:val="center"/>
              <w:rPr>
                <w:b/>
                <w:bCs/>
                <w:lang w:val="ro-MD"/>
              </w:rPr>
            </w:pPr>
            <w:r w:rsidRPr="00423439">
              <w:rPr>
                <w:b/>
                <w:bCs/>
                <w:lang w:val="ro-MD"/>
              </w:rPr>
              <w:t>A. v. Elveția</w:t>
            </w:r>
          </w:p>
          <w:p w14:paraId="10E84C6C" w14:textId="4821E331" w:rsidR="00AD71E9" w:rsidRPr="00423439" w:rsidRDefault="00AD71E9" w:rsidP="00C542B4">
            <w:pPr>
              <w:spacing w:before="120" w:after="120"/>
              <w:jc w:val="center"/>
              <w:rPr>
                <w:b/>
                <w:bCs/>
                <w:lang w:val="ro-MD"/>
              </w:rPr>
            </w:pPr>
            <w:r w:rsidRPr="00423439">
              <w:rPr>
                <w:b/>
                <w:bCs/>
                <w:i/>
                <w:iCs/>
                <w:lang w:val="ro-MD"/>
              </w:rPr>
              <w:t>(</w:t>
            </w:r>
            <w:r w:rsidRPr="00607149">
              <w:rPr>
                <w:i/>
                <w:iCs/>
                <w:lang w:val="ro-MD"/>
              </w:rPr>
              <w:t>Cererea nr. </w:t>
            </w:r>
            <w:hyperlink r:id="rId18" w:anchor="{%22appno%22:[%2260342/16%22]}" w:tgtFrame="_blank" w:history="1">
              <w:r w:rsidRPr="00607149">
                <w:rPr>
                  <w:rStyle w:val="af4"/>
                  <w:i/>
                  <w:iCs/>
                  <w:lang w:val="ro-MD"/>
                </w:rPr>
                <w:t>60342/16</w:t>
              </w:r>
            </w:hyperlink>
            <w:r w:rsidRPr="00423439">
              <w:rPr>
                <w:b/>
                <w:bCs/>
                <w:i/>
                <w:iCs/>
                <w:lang w:val="ro-MD"/>
              </w:rPr>
              <w:t>)</w:t>
            </w:r>
          </w:p>
          <w:p w14:paraId="235CCC43" w14:textId="058F5009" w:rsidR="004F223B" w:rsidRPr="00423439" w:rsidRDefault="00AD71E9" w:rsidP="00C542B4">
            <w:pPr>
              <w:spacing w:before="120" w:after="120"/>
              <w:jc w:val="center"/>
              <w:rPr>
                <w:b/>
                <w:bCs/>
                <w:lang w:val="ro-MD"/>
              </w:rPr>
            </w:pPr>
            <w:r w:rsidRPr="00423439">
              <w:rPr>
                <w:b/>
                <w:bCs/>
                <w:lang w:val="ro-MD"/>
              </w:rPr>
              <w:t>19 decembrie 2017</w:t>
            </w:r>
          </w:p>
        </w:tc>
        <w:tc>
          <w:tcPr>
            <w:tcW w:w="992" w:type="dxa"/>
            <w:tcBorders>
              <w:top w:val="single" w:sz="12" w:space="0" w:color="auto"/>
            </w:tcBorders>
          </w:tcPr>
          <w:p w14:paraId="3A14EC79" w14:textId="709CBC8D" w:rsidR="004F223B" w:rsidRPr="00423439" w:rsidRDefault="004F223B" w:rsidP="00C542B4">
            <w:pPr>
              <w:spacing w:before="120" w:after="120"/>
              <w:jc w:val="center"/>
              <w:rPr>
                <w:lang w:val="ro-MD"/>
              </w:rPr>
            </w:pPr>
            <w:r w:rsidRPr="00423439">
              <w:rPr>
                <w:lang w:val="ro-MD"/>
              </w:rPr>
              <w:t>C</w:t>
            </w:r>
          </w:p>
        </w:tc>
        <w:tc>
          <w:tcPr>
            <w:tcW w:w="992" w:type="dxa"/>
            <w:tcBorders>
              <w:top w:val="single" w:sz="12" w:space="0" w:color="auto"/>
            </w:tcBorders>
          </w:tcPr>
          <w:p w14:paraId="75D19393" w14:textId="77777777" w:rsidR="00AD71E9" w:rsidRPr="00423439" w:rsidRDefault="00AD71E9" w:rsidP="00C542B4">
            <w:pPr>
              <w:spacing w:before="120" w:after="120"/>
              <w:jc w:val="center"/>
              <w:rPr>
                <w:lang w:val="ro-MD"/>
              </w:rPr>
            </w:pPr>
            <w:r w:rsidRPr="00423439">
              <w:rPr>
                <w:lang w:val="ro-MD"/>
              </w:rPr>
              <w:t>2</w:t>
            </w:r>
          </w:p>
          <w:p w14:paraId="04176159" w14:textId="77777777" w:rsidR="00AD71E9" w:rsidRPr="00423439" w:rsidRDefault="00AD71E9" w:rsidP="00C542B4">
            <w:pPr>
              <w:spacing w:before="120" w:after="120"/>
              <w:jc w:val="center"/>
              <w:rPr>
                <w:lang w:val="ro-MD"/>
              </w:rPr>
            </w:pPr>
            <w:r w:rsidRPr="00423439">
              <w:rPr>
                <w:lang w:val="ro-MD"/>
              </w:rPr>
              <w:t>3</w:t>
            </w:r>
          </w:p>
          <w:p w14:paraId="4FC0B865" w14:textId="77777777" w:rsidR="004F223B" w:rsidRPr="00423439" w:rsidRDefault="004F223B" w:rsidP="00C542B4">
            <w:pPr>
              <w:spacing w:before="120" w:after="120"/>
              <w:jc w:val="center"/>
              <w:rPr>
                <w:lang w:val="ro-MD"/>
              </w:rPr>
            </w:pPr>
          </w:p>
        </w:tc>
        <w:tc>
          <w:tcPr>
            <w:tcW w:w="709" w:type="dxa"/>
            <w:tcBorders>
              <w:top w:val="single" w:sz="12" w:space="0" w:color="auto"/>
            </w:tcBorders>
          </w:tcPr>
          <w:p w14:paraId="2F6EDDBF" w14:textId="1BD3E5EA" w:rsidR="004F223B" w:rsidRPr="00423439" w:rsidRDefault="00AD71E9" w:rsidP="00C542B4">
            <w:pPr>
              <w:spacing w:before="120" w:after="120"/>
              <w:jc w:val="center"/>
              <w:rPr>
                <w:lang w:val="ro-MD"/>
              </w:rPr>
            </w:pPr>
            <w:r w:rsidRPr="00423439">
              <w:rPr>
                <w:lang w:val="ro-MD"/>
              </w:rPr>
              <w:t>-</w:t>
            </w:r>
          </w:p>
        </w:tc>
        <w:tc>
          <w:tcPr>
            <w:tcW w:w="1276" w:type="dxa"/>
            <w:tcBorders>
              <w:top w:val="single" w:sz="12" w:space="0" w:color="auto"/>
            </w:tcBorders>
          </w:tcPr>
          <w:p w14:paraId="4B3DC72C" w14:textId="49559212" w:rsidR="004F223B" w:rsidRPr="00423439" w:rsidRDefault="00765FE1" w:rsidP="00C542B4">
            <w:pPr>
              <w:spacing w:before="120" w:after="120"/>
              <w:jc w:val="center"/>
              <w:rPr>
                <w:lang w:val="ro-MD"/>
              </w:rPr>
            </w:pPr>
            <w:r w:rsidRPr="00423439">
              <w:rPr>
                <w:lang w:val="ro-MD"/>
              </w:rPr>
              <w:t>Cerere de azil, demonstrații, arest, tortură, evadare, autorități iraniene, comunitate creștină, refugiat</w:t>
            </w:r>
          </w:p>
        </w:tc>
        <w:tc>
          <w:tcPr>
            <w:tcW w:w="6095" w:type="dxa"/>
            <w:tcBorders>
              <w:top w:val="single" w:sz="12" w:space="0" w:color="auto"/>
            </w:tcBorders>
          </w:tcPr>
          <w:p w14:paraId="548E4A05" w14:textId="4037DDCD" w:rsidR="00765FE1" w:rsidRPr="00423439" w:rsidRDefault="00765FE1" w:rsidP="00C542B4">
            <w:pPr>
              <w:spacing w:before="120" w:after="120"/>
              <w:jc w:val="center"/>
              <w:rPr>
                <w:lang w:val="ro-MD"/>
              </w:rPr>
            </w:pPr>
            <w:r w:rsidRPr="00423439">
              <w:rPr>
                <w:lang w:val="ro-MD"/>
              </w:rPr>
              <w:t>40. Curtea consideră că situația generală a drepturilor omului din Iran nu împiedică, </w:t>
            </w:r>
            <w:r w:rsidRPr="00423439">
              <w:rPr>
                <w:i/>
                <w:iCs/>
                <w:lang w:val="ro-MD"/>
              </w:rPr>
              <w:t>per se </w:t>
            </w:r>
            <w:r w:rsidRPr="00423439">
              <w:rPr>
                <w:lang w:val="ro-MD"/>
              </w:rPr>
              <w:t>, deportarea niciunui cetățean iranian. Prin urmare, Curtea trebuie să evalueze dacă circumstanțele personale ale reclamantului, în special convertirea sa de la islam la creștinism în Elveția, sunt de așa natură încât acesta s-ar confrunta cu un risc real de tratamente contrare articolelor 2 și 3 din Convenție în cazul în care ar fi deportat în Iran.</w:t>
            </w:r>
          </w:p>
          <w:p w14:paraId="2F7857D1" w14:textId="33D02E55" w:rsidR="00765FE1" w:rsidRPr="00423439" w:rsidRDefault="00765FE1" w:rsidP="00C542B4">
            <w:pPr>
              <w:spacing w:before="120" w:after="120"/>
              <w:jc w:val="center"/>
              <w:rPr>
                <w:lang w:val="ro-MD"/>
              </w:rPr>
            </w:pPr>
            <w:r w:rsidRPr="00423439">
              <w:rPr>
                <w:lang w:val="ro-MD"/>
              </w:rPr>
              <w:t>44. [..]</w:t>
            </w:r>
            <w:r w:rsidRPr="00423439">
              <w:rPr>
                <w:rFonts w:ascii="Arial" w:eastAsia="Times New Roman" w:hAnsi="Arial" w:cs="Arial"/>
                <w:color w:val="000000"/>
                <w:szCs w:val="24"/>
                <w:lang w:val="ro-MD" w:eastAsia="en-GB"/>
              </w:rPr>
              <w:t xml:space="preserve"> </w:t>
            </w:r>
            <w:r w:rsidRPr="00423439">
              <w:rPr>
                <w:lang w:val="ro-MD"/>
              </w:rPr>
              <w:t> În această cauză, s-a constatat că autoritățile interne au stabilit, </w:t>
            </w:r>
            <w:r w:rsidRPr="00423439">
              <w:rPr>
                <w:i/>
                <w:iCs/>
                <w:lang w:val="ro-MD"/>
              </w:rPr>
              <w:t>printre altele </w:t>
            </w:r>
            <w:r w:rsidRPr="00423439">
              <w:rPr>
                <w:lang w:val="ro-MD"/>
              </w:rPr>
              <w:t xml:space="preserve">, că persoanele în cauză erau profund atașate credinței lor și considerau că practicarea publică a acesteia era esențială pentru a-și păstra identitatea </w:t>
            </w:r>
            <w:r w:rsidRPr="00423439">
              <w:rPr>
                <w:lang w:val="ro-MD"/>
              </w:rPr>
              <w:lastRenderedPageBreak/>
              <w:t>religioasă. În cazul de față, autoritățile interne, care l-au interogat personal pe reclamant, nu au ajuns la concluzii similare, iar r</w:t>
            </w:r>
            <w:r w:rsidRPr="00607149">
              <w:rPr>
                <w:b/>
                <w:bCs/>
                <w:lang w:val="ro-MD"/>
              </w:rPr>
              <w:t>eclamantul nu a prezentat Curții nicio probă sau argument care ar putea necesita o evaluare diferită a credinței reclamantului, în special în ceea ce privește practica publică a credinței sale</w:t>
            </w:r>
            <w:r w:rsidRPr="00423439">
              <w:rPr>
                <w:lang w:val="ro-MD"/>
              </w:rPr>
              <w:t>.  </w:t>
            </w:r>
          </w:p>
          <w:p w14:paraId="1C0EB436" w14:textId="74E22E06" w:rsidR="004F223B" w:rsidRPr="00423439" w:rsidRDefault="00765FE1" w:rsidP="00C542B4">
            <w:pPr>
              <w:spacing w:before="120" w:after="120"/>
              <w:jc w:val="center"/>
              <w:rPr>
                <w:lang w:val="ro-MD"/>
              </w:rPr>
            </w:pPr>
            <w:r w:rsidRPr="00423439">
              <w:rPr>
                <w:lang w:val="ro-MD"/>
              </w:rPr>
              <w:t>45. Curtea ia în considerare faptul că reclamantul a fost audiat personal de către autoritățile interne cu privire la convertirea sa la creștinism, că această cerere a fost examinată la două niveluri de jurisdicție în cadrul a două seturi de proceduri și că nu au existat indicii că procedurile în fața acestor autorități ar fi fost viciate.</w:t>
            </w:r>
          </w:p>
        </w:tc>
        <w:tc>
          <w:tcPr>
            <w:tcW w:w="4111" w:type="dxa"/>
            <w:tcBorders>
              <w:top w:val="single" w:sz="12" w:space="0" w:color="auto"/>
              <w:right w:val="single" w:sz="12" w:space="0" w:color="auto"/>
            </w:tcBorders>
          </w:tcPr>
          <w:p w14:paraId="7B242B32" w14:textId="47701EA0" w:rsidR="004F223B" w:rsidRPr="00423439" w:rsidRDefault="001B549D" w:rsidP="00C542B4">
            <w:pPr>
              <w:spacing w:before="120" w:line="276" w:lineRule="auto"/>
              <w:jc w:val="center"/>
              <w:rPr>
                <w:lang w:val="ro-MD"/>
              </w:rPr>
            </w:pPr>
            <w:r w:rsidRPr="00423439">
              <w:rPr>
                <w:lang w:val="ro-MD"/>
              </w:rPr>
              <w:lastRenderedPageBreak/>
              <w:t>Deportarea reclamantului în Iran nu ar constitui o încălcare a articolului 2 sau 3 din Convenție.</w:t>
            </w:r>
          </w:p>
        </w:tc>
      </w:tr>
      <w:tr w:rsidR="004F223B" w:rsidRPr="00423439" w14:paraId="060C0E6E" w14:textId="77777777" w:rsidTr="00C542B4">
        <w:trPr>
          <w:trHeight w:val="2160"/>
        </w:trPr>
        <w:tc>
          <w:tcPr>
            <w:tcW w:w="557" w:type="dxa"/>
            <w:tcBorders>
              <w:top w:val="single" w:sz="12" w:space="0" w:color="auto"/>
              <w:left w:val="single" w:sz="12" w:space="0" w:color="auto"/>
            </w:tcBorders>
          </w:tcPr>
          <w:p w14:paraId="07C8581F" w14:textId="4438B72A" w:rsidR="004F223B" w:rsidRPr="00423439" w:rsidRDefault="004F223B" w:rsidP="00C542B4">
            <w:pPr>
              <w:spacing w:before="120" w:after="120"/>
              <w:jc w:val="center"/>
              <w:rPr>
                <w:b/>
                <w:bCs/>
                <w:lang w:val="ro-MD"/>
              </w:rPr>
            </w:pPr>
            <w:r w:rsidRPr="00423439">
              <w:rPr>
                <w:b/>
                <w:bCs/>
                <w:lang w:val="ro-MD"/>
              </w:rPr>
              <w:t>12)</w:t>
            </w:r>
          </w:p>
        </w:tc>
        <w:tc>
          <w:tcPr>
            <w:tcW w:w="1413" w:type="dxa"/>
            <w:tcBorders>
              <w:top w:val="single" w:sz="12" w:space="0" w:color="auto"/>
            </w:tcBorders>
          </w:tcPr>
          <w:p w14:paraId="3B13628F" w14:textId="232F8359" w:rsidR="0063785B" w:rsidRPr="00423439" w:rsidRDefault="0063785B" w:rsidP="00C542B4">
            <w:pPr>
              <w:spacing w:before="120" w:after="120"/>
              <w:jc w:val="center"/>
              <w:rPr>
                <w:b/>
                <w:bCs/>
                <w:lang w:val="ro-MD"/>
              </w:rPr>
            </w:pPr>
            <w:r w:rsidRPr="00423439">
              <w:rPr>
                <w:b/>
                <w:bCs/>
                <w:lang w:val="ro-MD"/>
              </w:rPr>
              <w:t>Fernandez Iradi v. Franța</w:t>
            </w:r>
          </w:p>
          <w:p w14:paraId="4C428F66" w14:textId="77777777" w:rsidR="004F223B" w:rsidRPr="00423439" w:rsidRDefault="0063785B" w:rsidP="00C542B4">
            <w:pPr>
              <w:spacing w:before="120" w:after="120"/>
              <w:jc w:val="center"/>
              <w:rPr>
                <w:b/>
                <w:bCs/>
                <w:lang w:val="ro-MD"/>
              </w:rPr>
            </w:pPr>
            <w:r w:rsidRPr="00423439">
              <w:rPr>
                <w:b/>
                <w:bCs/>
                <w:lang w:val="ro-MD"/>
              </w:rPr>
              <w:t>(</w:t>
            </w:r>
            <w:r w:rsidRPr="00607149">
              <w:rPr>
                <w:i/>
                <w:iCs/>
                <w:lang w:val="ro-MD"/>
              </w:rPr>
              <w:t xml:space="preserve">Cererea nr. </w:t>
            </w:r>
            <w:hyperlink r:id="rId19" w:history="1">
              <w:r w:rsidRPr="00607149">
                <w:rPr>
                  <w:rStyle w:val="af4"/>
                  <w:i/>
                  <w:iCs/>
                  <w:lang w:val="ro-MD"/>
                </w:rPr>
                <w:t>23421/21</w:t>
              </w:r>
            </w:hyperlink>
            <w:r w:rsidRPr="00423439">
              <w:rPr>
                <w:b/>
                <w:bCs/>
                <w:lang w:val="ro-MD"/>
              </w:rPr>
              <w:t>)</w:t>
            </w:r>
          </w:p>
          <w:p w14:paraId="2BE95DA0" w14:textId="334F45B1" w:rsidR="0063785B" w:rsidRPr="00423439" w:rsidRDefault="0063785B" w:rsidP="00C542B4">
            <w:pPr>
              <w:spacing w:before="120" w:after="120"/>
              <w:jc w:val="center"/>
              <w:rPr>
                <w:b/>
                <w:bCs/>
                <w:lang w:val="ro-MD"/>
              </w:rPr>
            </w:pPr>
            <w:r w:rsidRPr="00423439">
              <w:rPr>
                <w:b/>
                <w:bCs/>
                <w:lang w:val="ro-MD"/>
              </w:rPr>
              <w:t>4 decembrie 2025</w:t>
            </w:r>
          </w:p>
        </w:tc>
        <w:tc>
          <w:tcPr>
            <w:tcW w:w="992" w:type="dxa"/>
            <w:tcBorders>
              <w:top w:val="single" w:sz="12" w:space="0" w:color="auto"/>
            </w:tcBorders>
          </w:tcPr>
          <w:p w14:paraId="32B99E17" w14:textId="17923C4C" w:rsidR="004F223B" w:rsidRPr="00423439" w:rsidRDefault="004F223B" w:rsidP="00C542B4">
            <w:pPr>
              <w:spacing w:before="120" w:after="120"/>
              <w:jc w:val="center"/>
              <w:rPr>
                <w:lang w:val="ro-MD"/>
              </w:rPr>
            </w:pPr>
            <w:r w:rsidRPr="00423439">
              <w:rPr>
                <w:lang w:val="ro-MD"/>
              </w:rPr>
              <w:t>C</w:t>
            </w:r>
          </w:p>
        </w:tc>
        <w:tc>
          <w:tcPr>
            <w:tcW w:w="992" w:type="dxa"/>
            <w:tcBorders>
              <w:top w:val="single" w:sz="12" w:space="0" w:color="auto"/>
            </w:tcBorders>
          </w:tcPr>
          <w:p w14:paraId="15F29F77" w14:textId="70CEA6A6" w:rsidR="004F223B" w:rsidRPr="00423439" w:rsidRDefault="00496E65" w:rsidP="00C542B4">
            <w:pPr>
              <w:spacing w:before="120" w:after="120"/>
              <w:jc w:val="center"/>
              <w:rPr>
                <w:lang w:val="ro-MD"/>
              </w:rPr>
            </w:pPr>
            <w:r w:rsidRPr="00423439">
              <w:rPr>
                <w:lang w:val="ro-MD"/>
              </w:rPr>
              <w:t>3</w:t>
            </w:r>
          </w:p>
        </w:tc>
        <w:tc>
          <w:tcPr>
            <w:tcW w:w="709" w:type="dxa"/>
            <w:tcBorders>
              <w:top w:val="single" w:sz="12" w:space="0" w:color="auto"/>
            </w:tcBorders>
          </w:tcPr>
          <w:p w14:paraId="17DC5A2C" w14:textId="0C49D6F0" w:rsidR="004F223B" w:rsidRPr="00423439" w:rsidRDefault="00496E65" w:rsidP="00C542B4">
            <w:pPr>
              <w:spacing w:before="120" w:after="120"/>
              <w:jc w:val="center"/>
              <w:rPr>
                <w:lang w:val="ro-MD"/>
              </w:rPr>
            </w:pPr>
            <w:r w:rsidRPr="00423439">
              <w:rPr>
                <w:lang w:val="ro-MD"/>
              </w:rPr>
              <w:t>-</w:t>
            </w:r>
          </w:p>
        </w:tc>
        <w:tc>
          <w:tcPr>
            <w:tcW w:w="1276" w:type="dxa"/>
            <w:tcBorders>
              <w:top w:val="single" w:sz="12" w:space="0" w:color="auto"/>
            </w:tcBorders>
          </w:tcPr>
          <w:p w14:paraId="7B7BF776" w14:textId="42738959" w:rsidR="004F223B" w:rsidRPr="00423439" w:rsidRDefault="00496E65" w:rsidP="00C542B4">
            <w:pPr>
              <w:spacing w:before="120" w:after="120"/>
              <w:jc w:val="center"/>
              <w:rPr>
                <w:lang w:val="ro-MD"/>
              </w:rPr>
            </w:pPr>
            <w:r w:rsidRPr="00423439">
              <w:rPr>
                <w:lang w:val="ro-MD"/>
              </w:rPr>
              <w:t>ONG, fizioterapie, lipsa accesului la îngrijiri medicale, scleroză multiplă</w:t>
            </w:r>
          </w:p>
        </w:tc>
        <w:tc>
          <w:tcPr>
            <w:tcW w:w="6095" w:type="dxa"/>
            <w:tcBorders>
              <w:top w:val="single" w:sz="12" w:space="0" w:color="auto"/>
            </w:tcBorders>
          </w:tcPr>
          <w:p w14:paraId="7649B8FA" w14:textId="240C8E4C" w:rsidR="004F223B" w:rsidRPr="00423439" w:rsidRDefault="00496E65" w:rsidP="00C542B4">
            <w:pPr>
              <w:spacing w:before="120" w:after="120"/>
              <w:jc w:val="center"/>
              <w:rPr>
                <w:lang w:val="ro-MD"/>
              </w:rPr>
            </w:pPr>
            <w:r w:rsidRPr="00423439">
              <w:rPr>
                <w:lang w:val="ro-MD"/>
              </w:rPr>
              <w:t>61. În al treilea rând, a constatat insuficiența ședințelor de fizioterapie oferite reclamantului, dar a considerat că nu există niciun obstacol insurmontable în calea remedierii acestei deficiențe.</w:t>
            </w:r>
            <w:r w:rsidRPr="00607149">
              <w:rPr>
                <w:b/>
                <w:bCs/>
                <w:lang w:val="ro-MD"/>
              </w:rPr>
              <w:t xml:space="preserve"> În acest sens, a precizat că este responsabilitatea autorităților competente să asigure fezabilitatea deplină a urmăririi fizioterapiei</w:t>
            </w:r>
            <w:r w:rsidRPr="00423439">
              <w:rPr>
                <w:lang w:val="ro-MD"/>
              </w:rPr>
              <w:t>.</w:t>
            </w:r>
          </w:p>
          <w:p w14:paraId="7858F333" w14:textId="77777777" w:rsidR="00496E65" w:rsidRPr="00496E65" w:rsidRDefault="00496E65" w:rsidP="00C542B4">
            <w:pPr>
              <w:spacing w:before="120" w:after="120"/>
              <w:jc w:val="center"/>
              <w:rPr>
                <w:lang w:val="ro-MD"/>
              </w:rPr>
            </w:pPr>
            <w:r w:rsidRPr="00496E65">
              <w:rPr>
                <w:lang w:val="ro-MD"/>
              </w:rPr>
              <w:t>70. Având în vedere toate cele de mai sus și în circumstanțele specifice ale cauzei, Curtea consideră că</w:t>
            </w:r>
            <w:r w:rsidRPr="00496E65">
              <w:rPr>
                <w:b/>
                <w:bCs/>
                <w:lang w:val="ro-MD"/>
              </w:rPr>
              <w:t xml:space="preserve"> lipsa accesului la îngrijiri medicale, care, conform Codului Penal, determină compatibilitatea menținerii detenției reclamantului cu starea sa de sănătate</w:t>
            </w:r>
            <w:r w:rsidRPr="00496E65">
              <w:rPr>
                <w:lang w:val="ro-MD"/>
              </w:rPr>
              <w:t>, a constituit o încălcare a articolului 3 din Convenție.   </w:t>
            </w:r>
          </w:p>
          <w:p w14:paraId="5DD173E2" w14:textId="5013D56A" w:rsidR="00496E65" w:rsidRPr="00423439" w:rsidRDefault="00496E65" w:rsidP="00C542B4">
            <w:pPr>
              <w:spacing w:before="120" w:after="120"/>
              <w:jc w:val="center"/>
              <w:rPr>
                <w:lang w:val="ro-MD"/>
              </w:rPr>
            </w:pPr>
            <w:r w:rsidRPr="00496E65">
              <w:rPr>
                <w:lang w:val="ro-MD"/>
              </w:rPr>
              <w:lastRenderedPageBreak/>
              <w:t>71. Mai mult, Curtea indică faptul că constatarea unei încălcări de mai sus nu poate fi considerată, în circumstanțele cauzei, ca necesitând încetarea detenției reclamantului, observând că acesta nu a solicitat asistență psihologică și a refuzat implementarea unui tratament de linia a doua, fără ca din dosar să rezulte că starea sa de sănătate s-a deteriorat în mod vădit ca urmare.  </w:t>
            </w:r>
          </w:p>
        </w:tc>
        <w:tc>
          <w:tcPr>
            <w:tcW w:w="4111" w:type="dxa"/>
            <w:tcBorders>
              <w:top w:val="single" w:sz="12" w:space="0" w:color="auto"/>
              <w:right w:val="single" w:sz="12" w:space="0" w:color="auto"/>
            </w:tcBorders>
          </w:tcPr>
          <w:p w14:paraId="0B3BD1B1" w14:textId="37A1AA6C" w:rsidR="00496E65" w:rsidRPr="00496E65" w:rsidRDefault="00496E65" w:rsidP="00C542B4">
            <w:pPr>
              <w:spacing w:before="120" w:line="276" w:lineRule="auto"/>
              <w:rPr>
                <w:lang w:val="ro-MD"/>
              </w:rPr>
            </w:pPr>
            <w:r w:rsidRPr="00496E65">
              <w:rPr>
                <w:lang w:val="ro-MD"/>
              </w:rPr>
              <w:lastRenderedPageBreak/>
              <w:t> avut loc o încălcare a articolului 3 din Convenție din cauza neluării de către autoritățile franceze a obligației de a acorda reclamantului îngrijirile medicale necesare stării sale de sănătate, așa cum au fost prescrise de Dr. D.P. și considerate de camera de condamnare drept o condiție pentru menținerea detenției sale</w:t>
            </w:r>
            <w:r w:rsidRPr="00423439">
              <w:rPr>
                <w:lang w:val="ro-MD"/>
              </w:rPr>
              <w:t xml:space="preserve">; + </w:t>
            </w:r>
            <w:r w:rsidRPr="00496E65">
              <w:rPr>
                <w:lang w:val="ro-MD"/>
              </w:rPr>
              <w:t>10.000 EUR ( zece mii de euro), plus orice sumă care poate fi datorată cu titlu de impozit, pentru daune morale ; 11.840 EUR (unsprezece mii opt</w:t>
            </w:r>
            <w:r w:rsidRPr="00423439">
              <w:rPr>
                <w:lang w:val="ro-MD"/>
              </w:rPr>
              <w:t xml:space="preserve"> </w:t>
            </w:r>
            <w:r w:rsidRPr="00496E65">
              <w:rPr>
                <w:lang w:val="ro-MD"/>
              </w:rPr>
              <w:t>sute patruzeci de euro), plus orice sumă care poate fi datorată de reclamant cu titlu de impozit, costuri și cheltuieli ;   </w:t>
            </w:r>
          </w:p>
          <w:p w14:paraId="4757956B" w14:textId="77777777" w:rsidR="004F223B" w:rsidRPr="00423439" w:rsidRDefault="004F223B" w:rsidP="00C542B4">
            <w:pPr>
              <w:spacing w:before="120" w:line="276" w:lineRule="auto"/>
              <w:jc w:val="center"/>
              <w:rPr>
                <w:lang w:val="ro-MD"/>
              </w:rPr>
            </w:pPr>
          </w:p>
        </w:tc>
      </w:tr>
      <w:tr w:rsidR="004F223B" w:rsidRPr="00423439" w14:paraId="3995E48B" w14:textId="5CD91701" w:rsidTr="00C542B4">
        <w:trPr>
          <w:trHeight w:val="2160"/>
        </w:trPr>
        <w:tc>
          <w:tcPr>
            <w:tcW w:w="557" w:type="dxa"/>
            <w:tcBorders>
              <w:top w:val="single" w:sz="12" w:space="0" w:color="auto"/>
              <w:left w:val="single" w:sz="12" w:space="0" w:color="auto"/>
            </w:tcBorders>
          </w:tcPr>
          <w:p w14:paraId="4BD5A463" w14:textId="1177394E" w:rsidR="004F223B" w:rsidRPr="00423439" w:rsidRDefault="004F223B" w:rsidP="00C542B4">
            <w:pPr>
              <w:spacing w:before="120" w:after="120"/>
              <w:jc w:val="center"/>
              <w:rPr>
                <w:b/>
                <w:bCs/>
                <w:lang w:val="ro-MD"/>
              </w:rPr>
            </w:pPr>
            <w:r w:rsidRPr="00423439">
              <w:rPr>
                <w:b/>
                <w:bCs/>
                <w:lang w:val="ro-MD"/>
              </w:rPr>
              <w:lastRenderedPageBreak/>
              <w:t>1</w:t>
            </w:r>
            <w:r w:rsidR="00AD71E9" w:rsidRPr="00423439">
              <w:rPr>
                <w:b/>
                <w:bCs/>
                <w:lang w:val="ro-MD"/>
              </w:rPr>
              <w:t>3</w:t>
            </w:r>
            <w:r w:rsidRPr="00423439">
              <w:rPr>
                <w:b/>
                <w:bCs/>
                <w:lang w:val="ro-MD"/>
              </w:rPr>
              <w:t>)</w:t>
            </w:r>
          </w:p>
        </w:tc>
        <w:tc>
          <w:tcPr>
            <w:tcW w:w="1413" w:type="dxa"/>
            <w:tcBorders>
              <w:top w:val="single" w:sz="12" w:space="0" w:color="auto"/>
            </w:tcBorders>
          </w:tcPr>
          <w:p w14:paraId="364A39BD" w14:textId="27F89110" w:rsidR="004F223B" w:rsidRPr="00423439" w:rsidRDefault="004F223B" w:rsidP="00C542B4">
            <w:pPr>
              <w:spacing w:before="120" w:after="120"/>
              <w:jc w:val="center"/>
              <w:rPr>
                <w:b/>
                <w:bCs/>
                <w:lang w:val="ro-MD"/>
              </w:rPr>
            </w:pPr>
            <w:r w:rsidRPr="00423439">
              <w:rPr>
                <w:b/>
                <w:bCs/>
                <w:lang w:val="ro-MD"/>
              </w:rPr>
              <w:t>Brincat și alții v. Malta</w:t>
            </w:r>
          </w:p>
          <w:p w14:paraId="53B06A61" w14:textId="4A56BCA4" w:rsidR="004F223B" w:rsidRPr="00423439" w:rsidRDefault="004F223B" w:rsidP="00C542B4">
            <w:pPr>
              <w:spacing w:before="120" w:after="120"/>
              <w:jc w:val="center"/>
              <w:rPr>
                <w:i/>
                <w:iCs/>
                <w:lang w:val="ro-MD"/>
              </w:rPr>
            </w:pPr>
            <w:r w:rsidRPr="00423439">
              <w:rPr>
                <w:lang w:val="ro-MD"/>
              </w:rPr>
              <w:t>(</w:t>
            </w:r>
            <w:r w:rsidRPr="00423439">
              <w:rPr>
                <w:i/>
                <w:iCs/>
                <w:lang w:val="ro-MD"/>
              </w:rPr>
              <w:t xml:space="preserve">Cererile </w:t>
            </w:r>
            <w:r w:rsidRPr="00423439">
              <w:rPr>
                <w:lang w:val="ro-MD"/>
              </w:rPr>
              <w:t xml:space="preserve"> </w:t>
            </w:r>
            <w:hyperlink r:id="rId20" w:history="1">
              <w:r w:rsidRPr="00423439">
                <w:rPr>
                  <w:rStyle w:val="af4"/>
                  <w:i/>
                  <w:iCs/>
                  <w:lang w:val="ro-MD"/>
                </w:rPr>
                <w:t>60908/11, 62110/11, 62129/11, 62312/11 și 62338/11</w:t>
              </w:r>
            </w:hyperlink>
            <w:r w:rsidRPr="00423439">
              <w:rPr>
                <w:i/>
                <w:iCs/>
                <w:lang w:val="ro-MD"/>
              </w:rPr>
              <w:t>)</w:t>
            </w:r>
          </w:p>
          <w:p w14:paraId="5CF6A667" w14:textId="65D46258" w:rsidR="004F223B" w:rsidRPr="00423439" w:rsidRDefault="004F223B" w:rsidP="00C542B4">
            <w:pPr>
              <w:spacing w:before="120" w:after="120"/>
              <w:jc w:val="center"/>
              <w:rPr>
                <w:b/>
                <w:bCs/>
                <w:lang w:val="ro-MD"/>
              </w:rPr>
            </w:pPr>
            <w:r w:rsidRPr="00423439">
              <w:rPr>
                <w:b/>
                <w:bCs/>
                <w:lang w:val="ro-MD"/>
              </w:rPr>
              <w:t>24 Iulie 2014</w:t>
            </w:r>
          </w:p>
        </w:tc>
        <w:tc>
          <w:tcPr>
            <w:tcW w:w="992" w:type="dxa"/>
            <w:tcBorders>
              <w:top w:val="single" w:sz="12" w:space="0" w:color="auto"/>
            </w:tcBorders>
          </w:tcPr>
          <w:p w14:paraId="40E0E80F" w14:textId="6BEB6D4E" w:rsidR="004F223B" w:rsidRPr="00423439" w:rsidRDefault="004F223B" w:rsidP="00C542B4">
            <w:pPr>
              <w:spacing w:before="120" w:after="120"/>
              <w:jc w:val="center"/>
              <w:rPr>
                <w:lang w:val="ro-MD"/>
              </w:rPr>
            </w:pPr>
            <w:r w:rsidRPr="00423439">
              <w:rPr>
                <w:lang w:val="ro-MD"/>
              </w:rPr>
              <w:t>C</w:t>
            </w:r>
          </w:p>
        </w:tc>
        <w:tc>
          <w:tcPr>
            <w:tcW w:w="992" w:type="dxa"/>
            <w:tcBorders>
              <w:top w:val="single" w:sz="12" w:space="0" w:color="auto"/>
            </w:tcBorders>
          </w:tcPr>
          <w:p w14:paraId="7A274A7A" w14:textId="7F0D6B78" w:rsidR="004F223B" w:rsidRPr="00423439" w:rsidRDefault="004F223B" w:rsidP="00C542B4">
            <w:pPr>
              <w:spacing w:before="120" w:after="120"/>
              <w:jc w:val="center"/>
              <w:rPr>
                <w:lang w:val="ro-MD"/>
              </w:rPr>
            </w:pPr>
            <w:r w:rsidRPr="00423439">
              <w:rPr>
                <w:lang w:val="ro-MD"/>
              </w:rPr>
              <w:t>2</w:t>
            </w:r>
          </w:p>
          <w:p w14:paraId="2761C241" w14:textId="50613610" w:rsidR="004F223B" w:rsidRPr="00423439" w:rsidRDefault="004F223B" w:rsidP="00C542B4">
            <w:pPr>
              <w:spacing w:before="120" w:after="120"/>
              <w:jc w:val="center"/>
              <w:rPr>
                <w:lang w:val="ro-MD"/>
              </w:rPr>
            </w:pPr>
            <w:r w:rsidRPr="00423439">
              <w:rPr>
                <w:lang w:val="ro-MD"/>
              </w:rPr>
              <w:t>8</w:t>
            </w:r>
          </w:p>
        </w:tc>
        <w:tc>
          <w:tcPr>
            <w:tcW w:w="709" w:type="dxa"/>
            <w:tcBorders>
              <w:top w:val="single" w:sz="12" w:space="0" w:color="auto"/>
            </w:tcBorders>
          </w:tcPr>
          <w:p w14:paraId="7D5AAB56" w14:textId="6231B81F" w:rsidR="004F223B" w:rsidRPr="00423439" w:rsidRDefault="004F223B" w:rsidP="00C542B4">
            <w:pPr>
              <w:spacing w:before="120" w:after="120"/>
              <w:jc w:val="center"/>
              <w:rPr>
                <w:lang w:val="ro-MD"/>
              </w:rPr>
            </w:pPr>
            <w:r w:rsidRPr="00423439">
              <w:rPr>
                <w:lang w:val="ro-MD"/>
              </w:rPr>
              <w:t>11</w:t>
            </w:r>
          </w:p>
        </w:tc>
        <w:tc>
          <w:tcPr>
            <w:tcW w:w="1276" w:type="dxa"/>
            <w:tcBorders>
              <w:top w:val="single" w:sz="12" w:space="0" w:color="auto"/>
            </w:tcBorders>
          </w:tcPr>
          <w:p w14:paraId="33BBED09" w14:textId="624F3776" w:rsidR="004F223B" w:rsidRPr="00423439" w:rsidRDefault="004F223B" w:rsidP="00C542B4">
            <w:pPr>
              <w:spacing w:before="120" w:after="120"/>
              <w:jc w:val="center"/>
              <w:rPr>
                <w:lang w:val="ro-MD"/>
              </w:rPr>
            </w:pPr>
            <w:r w:rsidRPr="00423439">
              <w:rPr>
                <w:lang w:val="ro-MD"/>
              </w:rPr>
              <w:t>Sănătate, viață privată, azbest, locul de muncă</w:t>
            </w:r>
          </w:p>
        </w:tc>
        <w:tc>
          <w:tcPr>
            <w:tcW w:w="6095" w:type="dxa"/>
            <w:tcBorders>
              <w:top w:val="single" w:sz="12" w:space="0" w:color="auto"/>
            </w:tcBorders>
          </w:tcPr>
          <w:p w14:paraId="704A4708" w14:textId="77777777" w:rsidR="004F223B" w:rsidRPr="00423439" w:rsidRDefault="004F223B" w:rsidP="00C542B4">
            <w:pPr>
              <w:spacing w:before="120" w:after="120"/>
              <w:jc w:val="center"/>
              <w:rPr>
                <w:lang w:val="ro-MD"/>
              </w:rPr>
            </w:pPr>
            <w:r w:rsidRPr="00423439">
              <w:rPr>
                <w:lang w:val="ro-MD"/>
              </w:rPr>
              <w:t>Curtea a considerat că, având în vedere gravitatea amenințării reprezentate de azbest și în ciuda marginii de manevră („marja de apreciere”) lăsată statelor pentru a decide modul de gestionare a acestor riscuri, guvernul maltez nu și-a îndeplinit obligațiile pozitive care îi revin în temeiul Convenției europene de a legifera sau de a lua alte măsuri practice pentru a se asigura că reclamanții erau protejați în mod adecvat și informați cu privire la riscurile pentru sănătatea și viața lor.</w:t>
            </w:r>
          </w:p>
          <w:p w14:paraId="4AC76701" w14:textId="62D7BDF8" w:rsidR="004F223B" w:rsidRPr="00423439" w:rsidRDefault="004F223B" w:rsidP="00C542B4">
            <w:pPr>
              <w:spacing w:before="120" w:after="120"/>
              <w:jc w:val="center"/>
              <w:rPr>
                <w:lang w:val="ro-MD"/>
              </w:rPr>
            </w:pPr>
            <w:r w:rsidRPr="00423439">
              <w:rPr>
                <w:lang w:val="ro-MD"/>
              </w:rPr>
              <w:t xml:space="preserve">105. [..] </w:t>
            </w:r>
            <w:r w:rsidRPr="00423439">
              <w:rPr>
                <w:rFonts w:eastAsia="Times New Roman" w:cs="Times New Roman"/>
                <w:szCs w:val="24"/>
                <w:lang w:val="ro-MD" w:eastAsia="en-GB"/>
              </w:rPr>
              <w:t xml:space="preserve"> </w:t>
            </w:r>
            <w:r w:rsidRPr="00423439">
              <w:rPr>
                <w:lang w:val="ro-MD"/>
              </w:rPr>
              <w:t xml:space="preserve">În acest sens, Curtea observă că Guvernul a recunoscut implicit că avea cunoștință de aceste pericole în jurul anului 1987, întrucât a declarat că, de îndată ce a luat cunoștință de pericolele asociate azbestului, a adoptat legi pentru a proteja angajații împotriva acestor pericole încă din 1987. [..], guvernul </w:t>
            </w:r>
            <w:r w:rsidRPr="00423439">
              <w:rPr>
                <w:b/>
                <w:bCs/>
                <w:lang w:val="ro-MD"/>
              </w:rPr>
              <w:t>cunoștea sau ar fi trebuit să cunoască</w:t>
            </w:r>
            <w:r w:rsidRPr="00423439">
              <w:rPr>
                <w:lang w:val="ro-MD"/>
              </w:rPr>
              <w:t xml:space="preserve"> pericolele relevante.</w:t>
            </w:r>
          </w:p>
          <w:p w14:paraId="4D7FCAE5" w14:textId="77777777" w:rsidR="004F223B" w:rsidRPr="00423439" w:rsidRDefault="004F223B" w:rsidP="00C542B4">
            <w:pPr>
              <w:spacing w:before="120" w:after="120"/>
              <w:jc w:val="center"/>
              <w:rPr>
                <w:lang w:val="ro-MD"/>
              </w:rPr>
            </w:pPr>
            <w:r w:rsidRPr="00423439">
              <w:rPr>
                <w:lang w:val="ro-MD"/>
              </w:rPr>
              <w:lastRenderedPageBreak/>
              <w:t xml:space="preserve">110. Curtea consideră că adoptarea unei legislații specifice la cincisprezece ani după momentul din mijlocul anilor 1980, când guvernul recunoaște că era conștient de riscuri, </w:t>
            </w:r>
            <w:r w:rsidRPr="00423439">
              <w:rPr>
                <w:b/>
                <w:bCs/>
                <w:i/>
                <w:iCs/>
                <w:lang w:val="ro-MD"/>
              </w:rPr>
              <w:t>nu poate fi considerată o reacție adecvată în ceea ce privește îndeplinirea obligațiilor pozitive ale statului.</w:t>
            </w:r>
            <w:r w:rsidRPr="00423439">
              <w:rPr>
                <w:lang w:val="ro-MD"/>
              </w:rPr>
              <w:t xml:space="preserve"> („</w:t>
            </w:r>
            <w:r w:rsidRPr="00423439">
              <w:rPr>
                <w:rFonts w:ascii="Arial" w:hAnsi="Arial" w:cs="Arial"/>
                <w:i/>
                <w:iCs/>
                <w:color w:val="000000"/>
                <w:shd w:val="clear" w:color="auto" w:fill="FFFFFF"/>
                <w:lang w:val="ro-MD"/>
              </w:rPr>
              <w:t>c</w:t>
            </w:r>
            <w:r w:rsidRPr="00870AB7">
              <w:rPr>
                <w:i/>
                <w:iCs/>
                <w:lang w:val="ro-MD"/>
              </w:rPr>
              <w:t>an hardly be seen as</w:t>
            </w:r>
            <w:r w:rsidRPr="00423439">
              <w:rPr>
                <w:i/>
                <w:iCs/>
                <w:lang w:val="ro-MD"/>
              </w:rPr>
              <w:t xml:space="preserve"> adequate response in terms of fulfilling a State’s positive obligations</w:t>
            </w:r>
            <w:r w:rsidRPr="00423439">
              <w:rPr>
                <w:lang w:val="ro-MD"/>
              </w:rPr>
              <w:t>”).</w:t>
            </w:r>
          </w:p>
          <w:p w14:paraId="1A6BEDFE" w14:textId="13FD1E84" w:rsidR="004F223B" w:rsidRPr="00423439" w:rsidRDefault="004F223B" w:rsidP="00C542B4">
            <w:pPr>
              <w:spacing w:before="120" w:after="120"/>
              <w:jc w:val="center"/>
              <w:rPr>
                <w:lang w:val="ro-MD"/>
              </w:rPr>
            </w:pPr>
            <w:r w:rsidRPr="00423439">
              <w:rPr>
                <w:lang w:val="ro-MD"/>
              </w:rPr>
              <w:t>116. Considerentele de mai sus conduc Curtea la concluzia că, având în vedere gravitatea amenințării în cauză, în pofida marjei de apreciere a statului în ceea ce privește alegerea mijloacelor, guvernul nu și-a îndeplinit obligațiile pozitive de a legifera sau de a lua alte măsuri practice, în temeiul articolelor 2 și 8, în circumstanțele prezentei cauze.</w:t>
            </w:r>
          </w:p>
        </w:tc>
        <w:tc>
          <w:tcPr>
            <w:tcW w:w="4111" w:type="dxa"/>
            <w:tcBorders>
              <w:top w:val="single" w:sz="12" w:space="0" w:color="auto"/>
              <w:right w:val="single" w:sz="12" w:space="0" w:color="auto"/>
            </w:tcBorders>
          </w:tcPr>
          <w:p w14:paraId="3DD06F02" w14:textId="77777777" w:rsidR="004F223B" w:rsidRPr="00423439" w:rsidRDefault="004F223B" w:rsidP="00C542B4">
            <w:pPr>
              <w:spacing w:before="120" w:line="276" w:lineRule="auto"/>
              <w:jc w:val="center"/>
              <w:rPr>
                <w:lang w:val="ro-MD"/>
              </w:rPr>
            </w:pPr>
            <w:r w:rsidRPr="00423439">
              <w:rPr>
                <w:lang w:val="ro-MD"/>
              </w:rPr>
              <w:lastRenderedPageBreak/>
              <w:t>Curtea a hotărât că Malta trebuie să plătească, pentru prejudiciul moral:</w:t>
            </w:r>
          </w:p>
          <w:p w14:paraId="003F7945" w14:textId="77777777" w:rsidR="004F223B" w:rsidRPr="00423439" w:rsidRDefault="004F223B" w:rsidP="00C542B4">
            <w:pPr>
              <w:spacing w:before="120" w:line="276" w:lineRule="auto"/>
              <w:jc w:val="center"/>
              <w:rPr>
                <w:lang w:val="ro-MD"/>
              </w:rPr>
            </w:pPr>
            <w:r w:rsidRPr="00423439">
              <w:rPr>
                <w:lang w:val="ro-MD"/>
              </w:rPr>
              <w:t>- 30 000 EUR, în solidar, reclamanților din cererea nr. 62338/11;</w:t>
            </w:r>
          </w:p>
          <w:p w14:paraId="1E1C01DE" w14:textId="77777777" w:rsidR="004F223B" w:rsidRPr="00423439" w:rsidRDefault="004F223B" w:rsidP="00C542B4">
            <w:pPr>
              <w:spacing w:before="120" w:line="276" w:lineRule="auto"/>
              <w:jc w:val="center"/>
              <w:rPr>
                <w:lang w:val="ro-MD"/>
              </w:rPr>
            </w:pPr>
            <w:r w:rsidRPr="00423439">
              <w:rPr>
                <w:lang w:val="ro-MD"/>
              </w:rPr>
              <w:t>- 12 000 EUR primului reclamant din cererea nr. 62312/11 (John Mary Abela);</w:t>
            </w:r>
          </w:p>
          <w:p w14:paraId="33806529" w14:textId="77777777" w:rsidR="004F223B" w:rsidRPr="00423439" w:rsidRDefault="004F223B" w:rsidP="00C542B4">
            <w:pPr>
              <w:spacing w:before="120" w:line="276" w:lineRule="auto"/>
              <w:jc w:val="center"/>
              <w:rPr>
                <w:lang w:val="ro-MD"/>
              </w:rPr>
            </w:pPr>
            <w:r w:rsidRPr="00423439">
              <w:rPr>
                <w:lang w:val="ro-MD"/>
              </w:rPr>
              <w:t>- 1 000 EUR celui de-al doilea reclamant din cererea nr. 62312/11 (Francis John Dyer);</w:t>
            </w:r>
          </w:p>
          <w:p w14:paraId="5FB5B101" w14:textId="77777777" w:rsidR="004F223B" w:rsidRPr="00423439" w:rsidRDefault="004F223B" w:rsidP="00C542B4">
            <w:pPr>
              <w:spacing w:before="120" w:line="276" w:lineRule="auto"/>
              <w:jc w:val="center"/>
              <w:rPr>
                <w:lang w:val="ro-MD"/>
              </w:rPr>
            </w:pPr>
            <w:r w:rsidRPr="00423439">
              <w:rPr>
                <w:lang w:val="ro-MD"/>
              </w:rPr>
              <w:t>- 9 000 EUR fiecăruia dintre ceilalți reclamanți;</w:t>
            </w:r>
          </w:p>
          <w:p w14:paraId="0F546B8A" w14:textId="5151BDC0" w:rsidR="004F223B" w:rsidRPr="00423439" w:rsidRDefault="004F223B" w:rsidP="00C542B4">
            <w:pPr>
              <w:spacing w:before="120" w:line="276" w:lineRule="auto"/>
              <w:jc w:val="center"/>
              <w:rPr>
                <w:lang w:val="ro-MD"/>
              </w:rPr>
            </w:pPr>
            <w:r w:rsidRPr="00423439">
              <w:rPr>
                <w:lang w:val="ro-MD"/>
              </w:rPr>
              <w:t>și, cu titlu de cheltuieli de judecată, 6 000 EUR în solidar grupului de reclamanți din fiecare cerere.</w:t>
            </w:r>
          </w:p>
        </w:tc>
      </w:tr>
      <w:tr w:rsidR="007E0FEB" w:rsidRPr="00423439" w14:paraId="3C73951B" w14:textId="77777777" w:rsidTr="00C542B4">
        <w:trPr>
          <w:trHeight w:val="688"/>
        </w:trPr>
        <w:tc>
          <w:tcPr>
            <w:tcW w:w="16145" w:type="dxa"/>
            <w:gridSpan w:val="8"/>
            <w:tcBorders>
              <w:right w:val="single" w:sz="12" w:space="0" w:color="auto"/>
            </w:tcBorders>
          </w:tcPr>
          <w:p w14:paraId="250B4570" w14:textId="0F336A6F" w:rsidR="007E0FEB" w:rsidRPr="00423439" w:rsidRDefault="007E0FEB" w:rsidP="00C542B4">
            <w:pPr>
              <w:spacing w:before="120" w:after="120"/>
              <w:jc w:val="center"/>
              <w:rPr>
                <w:lang w:val="ro-MD"/>
              </w:rPr>
            </w:pPr>
            <w:r w:rsidRPr="00423439">
              <w:rPr>
                <w:b/>
                <w:bCs/>
                <w:lang w:val="ro-MD"/>
              </w:rPr>
              <w:t xml:space="preserve">Motivul alegerii pentru includere: </w:t>
            </w:r>
            <w:r w:rsidRPr="00423439">
              <w:rPr>
                <w:lang w:val="ro-MD"/>
              </w:rPr>
              <w:t>Azbestul reprezintă o temă de interes pentru mine. Acesta provoacă răni adânci în plămâni și fibrele rămân în țesuturi. Sunt îngrijorată anume de modul în care persoanele fizice cad victime acestei substanțe fără să știe sau fără a obține compensații pentru prejudiciul grav adus sănătății lor. Finalitatea și modul direct în carea Curtea descrie situația și eșecul autorităților este foarte satisfăcător.</w:t>
            </w:r>
          </w:p>
        </w:tc>
      </w:tr>
      <w:tr w:rsidR="004F223B" w:rsidRPr="00870AB7" w14:paraId="6F418106" w14:textId="34AE4F5F" w:rsidTr="00C542B4">
        <w:trPr>
          <w:trHeight w:val="980"/>
        </w:trPr>
        <w:tc>
          <w:tcPr>
            <w:tcW w:w="557" w:type="dxa"/>
            <w:tcBorders>
              <w:top w:val="single" w:sz="6" w:space="0" w:color="auto"/>
              <w:left w:val="single" w:sz="12" w:space="0" w:color="auto"/>
              <w:bottom w:val="single" w:sz="8" w:space="0" w:color="auto"/>
            </w:tcBorders>
          </w:tcPr>
          <w:p w14:paraId="33956A06" w14:textId="56000300" w:rsidR="004F223B" w:rsidRPr="00423439" w:rsidRDefault="004F223B" w:rsidP="00C542B4">
            <w:pPr>
              <w:spacing w:before="120" w:after="120"/>
              <w:jc w:val="center"/>
              <w:rPr>
                <w:b/>
                <w:bCs/>
                <w:lang w:val="ro-MD"/>
              </w:rPr>
            </w:pPr>
            <w:r w:rsidRPr="00423439">
              <w:rPr>
                <w:b/>
                <w:bCs/>
                <w:lang w:val="ro-MD"/>
              </w:rPr>
              <w:t>1</w:t>
            </w:r>
            <w:r w:rsidR="00AD71E9" w:rsidRPr="00423439">
              <w:rPr>
                <w:b/>
                <w:bCs/>
                <w:lang w:val="ro-MD"/>
              </w:rPr>
              <w:t>4</w:t>
            </w:r>
            <w:r w:rsidRPr="00423439">
              <w:rPr>
                <w:b/>
                <w:bCs/>
                <w:lang w:val="ro-MD"/>
              </w:rPr>
              <w:t>)</w:t>
            </w:r>
          </w:p>
        </w:tc>
        <w:tc>
          <w:tcPr>
            <w:tcW w:w="1413" w:type="dxa"/>
            <w:tcBorders>
              <w:top w:val="single" w:sz="6" w:space="0" w:color="auto"/>
              <w:bottom w:val="single" w:sz="8" w:space="0" w:color="auto"/>
            </w:tcBorders>
          </w:tcPr>
          <w:p w14:paraId="2F0AD68E" w14:textId="77777777" w:rsidR="004F223B" w:rsidRPr="00423439" w:rsidRDefault="004F223B" w:rsidP="00C542B4">
            <w:pPr>
              <w:spacing w:before="120" w:after="120"/>
              <w:jc w:val="center"/>
              <w:rPr>
                <w:b/>
                <w:bCs/>
                <w:lang w:val="ro-MD"/>
              </w:rPr>
            </w:pPr>
            <w:r w:rsidRPr="00423439">
              <w:rPr>
                <w:b/>
                <w:bCs/>
                <w:lang w:val="ro-MD"/>
              </w:rPr>
              <w:t>Florea v. România</w:t>
            </w:r>
          </w:p>
          <w:p w14:paraId="4E69769B" w14:textId="77777777" w:rsidR="004F223B" w:rsidRPr="00423439" w:rsidRDefault="004F223B" w:rsidP="00C542B4">
            <w:pPr>
              <w:spacing w:before="120" w:after="120"/>
              <w:jc w:val="center"/>
              <w:rPr>
                <w:i/>
                <w:iCs/>
                <w:lang w:val="ro-MD"/>
              </w:rPr>
            </w:pPr>
            <w:r w:rsidRPr="00423439">
              <w:rPr>
                <w:i/>
                <w:iCs/>
                <w:lang w:val="ro-MD"/>
              </w:rPr>
              <w:t>(Cererea nr. </w:t>
            </w:r>
            <w:hyperlink r:id="rId21" w:tgtFrame="_blank" w:history="1">
              <w:r w:rsidRPr="00423439">
                <w:rPr>
                  <w:rStyle w:val="af4"/>
                  <w:i/>
                  <w:iCs/>
                  <w:lang w:val="ro-MD"/>
                </w:rPr>
                <w:t>37186/03</w:t>
              </w:r>
            </w:hyperlink>
            <w:r w:rsidRPr="00423439">
              <w:rPr>
                <w:i/>
                <w:iCs/>
                <w:lang w:val="ro-MD"/>
              </w:rPr>
              <w:t>)</w:t>
            </w:r>
          </w:p>
          <w:p w14:paraId="7053A440" w14:textId="3A6C7035" w:rsidR="004F223B" w:rsidRPr="00423439" w:rsidRDefault="004F223B" w:rsidP="00C542B4">
            <w:pPr>
              <w:spacing w:before="120" w:after="120"/>
              <w:jc w:val="center"/>
              <w:rPr>
                <w:b/>
                <w:bCs/>
                <w:lang w:val="ro-MD"/>
              </w:rPr>
            </w:pPr>
            <w:r w:rsidRPr="00423439">
              <w:rPr>
                <w:b/>
                <w:bCs/>
                <w:lang w:val="ro-MD"/>
              </w:rPr>
              <w:lastRenderedPageBreak/>
              <w:t>14 septembrie 2010</w:t>
            </w:r>
          </w:p>
        </w:tc>
        <w:tc>
          <w:tcPr>
            <w:tcW w:w="992" w:type="dxa"/>
            <w:tcBorders>
              <w:top w:val="single" w:sz="6" w:space="0" w:color="auto"/>
            </w:tcBorders>
          </w:tcPr>
          <w:p w14:paraId="008C2ACA" w14:textId="1CA36B43" w:rsidR="004F223B" w:rsidRPr="00423439" w:rsidRDefault="004F223B" w:rsidP="00C542B4">
            <w:pPr>
              <w:spacing w:before="120" w:after="120"/>
              <w:jc w:val="center"/>
              <w:rPr>
                <w:lang w:val="ro-MD"/>
              </w:rPr>
            </w:pPr>
            <w:r w:rsidRPr="00423439">
              <w:rPr>
                <w:lang w:val="ro-MD"/>
              </w:rPr>
              <w:lastRenderedPageBreak/>
              <w:t>C</w:t>
            </w:r>
          </w:p>
        </w:tc>
        <w:tc>
          <w:tcPr>
            <w:tcW w:w="992" w:type="dxa"/>
            <w:tcBorders>
              <w:top w:val="single" w:sz="8" w:space="0" w:color="auto"/>
              <w:bottom w:val="single" w:sz="8" w:space="0" w:color="auto"/>
            </w:tcBorders>
          </w:tcPr>
          <w:p w14:paraId="20EF5561" w14:textId="49C408A3" w:rsidR="004F223B" w:rsidRPr="00423439" w:rsidRDefault="004F223B" w:rsidP="00C542B4">
            <w:pPr>
              <w:spacing w:before="120" w:after="120"/>
              <w:jc w:val="center"/>
              <w:rPr>
                <w:lang w:val="ro-MD"/>
              </w:rPr>
            </w:pPr>
            <w:r w:rsidRPr="00423439">
              <w:rPr>
                <w:lang w:val="ro-MD"/>
              </w:rPr>
              <w:t>3</w:t>
            </w:r>
          </w:p>
        </w:tc>
        <w:tc>
          <w:tcPr>
            <w:tcW w:w="709" w:type="dxa"/>
            <w:tcBorders>
              <w:top w:val="single" w:sz="8" w:space="0" w:color="auto"/>
              <w:bottom w:val="single" w:sz="8" w:space="0" w:color="auto"/>
            </w:tcBorders>
          </w:tcPr>
          <w:p w14:paraId="53D12070" w14:textId="30624AE1" w:rsidR="004F223B" w:rsidRPr="00423439" w:rsidRDefault="004F223B" w:rsidP="00C542B4">
            <w:pPr>
              <w:spacing w:before="120" w:after="120"/>
              <w:jc w:val="center"/>
              <w:rPr>
                <w:lang w:val="ro-MD"/>
              </w:rPr>
            </w:pPr>
            <w:r w:rsidRPr="00423439">
              <w:rPr>
                <w:lang w:val="ro-MD"/>
              </w:rPr>
              <w:t>4</w:t>
            </w:r>
          </w:p>
        </w:tc>
        <w:tc>
          <w:tcPr>
            <w:tcW w:w="1276" w:type="dxa"/>
            <w:tcBorders>
              <w:top w:val="single" w:sz="8" w:space="0" w:color="auto"/>
              <w:bottom w:val="single" w:sz="8" w:space="0" w:color="auto"/>
            </w:tcBorders>
          </w:tcPr>
          <w:p w14:paraId="39578B19" w14:textId="5362EBAE" w:rsidR="004F223B" w:rsidRPr="00423439" w:rsidRDefault="004F223B" w:rsidP="00C542B4">
            <w:pPr>
              <w:spacing w:before="120" w:after="120"/>
              <w:jc w:val="center"/>
              <w:rPr>
                <w:lang w:val="ro-MD"/>
              </w:rPr>
            </w:pPr>
            <w:r w:rsidRPr="00423439">
              <w:rPr>
                <w:lang w:val="ro-MD"/>
              </w:rPr>
              <w:t>Fumat pasiv, tratament degradant, condiții de detenție</w:t>
            </w:r>
          </w:p>
        </w:tc>
        <w:tc>
          <w:tcPr>
            <w:tcW w:w="6095" w:type="dxa"/>
            <w:tcBorders>
              <w:top w:val="single" w:sz="8" w:space="0" w:color="auto"/>
              <w:bottom w:val="single" w:sz="8" w:space="0" w:color="auto"/>
            </w:tcBorders>
          </w:tcPr>
          <w:p w14:paraId="68F2F602" w14:textId="7EC71FE0" w:rsidR="004F223B" w:rsidRPr="00423439" w:rsidRDefault="004F223B" w:rsidP="00C542B4">
            <w:pPr>
              <w:spacing w:before="120" w:after="120"/>
              <w:jc w:val="center"/>
              <w:rPr>
                <w:lang w:val="ro-MD"/>
              </w:rPr>
            </w:pPr>
            <w:r w:rsidRPr="00423439">
              <w:rPr>
                <w:lang w:val="ro-MD"/>
              </w:rPr>
              <w:t xml:space="preserve">50. Curtea subliniază că măsurile privative de libertate implică în mod obişnuit anumite inconveniente pentru deţinut. Totuşi, aceasta reaminteşte că închiderea unei persoane nu determină pierderea de către deţinut a drepturilor garantate prin Convenţie. </w:t>
            </w:r>
            <w:r w:rsidRPr="00607149">
              <w:rPr>
                <w:b/>
                <w:bCs/>
                <w:lang w:val="ro-MD"/>
              </w:rPr>
              <w:t>Dimpotrivă, în anumite cazuri, persoana închisă poate avea nevoie de protecţie sporită din cauza vulnerabilităţii situaţiei sale şi pentru că se află în întregime în grija statului.</w:t>
            </w:r>
            <w:r w:rsidRPr="00423439">
              <w:rPr>
                <w:lang w:val="ro-MD"/>
              </w:rPr>
              <w:t xml:space="preserve"> În acest </w:t>
            </w:r>
            <w:r w:rsidRPr="00423439">
              <w:rPr>
                <w:lang w:val="ro-MD"/>
              </w:rPr>
              <w:lastRenderedPageBreak/>
              <w:t xml:space="preserve">context, art. 3 impune autorităţilor o obligaţie pozitivă care constă în a se asigura că orice prizonier este deţinut în condiţii care sunt compatibile cu respectarea demnităţii umane, că modalităţile de executare a pedepsei nu supun persoana în cauză unei suferinţe sau unei încercări de o intensitate care să </w:t>
            </w:r>
            <w:r w:rsidRPr="00607149">
              <w:rPr>
                <w:b/>
                <w:bCs/>
                <w:lang w:val="ro-MD"/>
              </w:rPr>
              <w:t>depăşească nivelul inevitabil de suferinţă inerent detenţiei</w:t>
            </w:r>
            <w:r w:rsidRPr="00423439">
              <w:rPr>
                <w:lang w:val="ro-MD"/>
              </w:rPr>
              <w:t xml:space="preserve"> şi că, ţinând seama de cerinţele practice din închisoare, sănătatea şi confortul prizonierului sunt asigurate în mod corespunzător.</w:t>
            </w:r>
          </w:p>
          <w:p w14:paraId="18D645D3" w14:textId="3E07F3E3" w:rsidR="004F223B" w:rsidRPr="00423439" w:rsidRDefault="004F223B" w:rsidP="00C542B4">
            <w:pPr>
              <w:spacing w:before="120" w:after="120"/>
              <w:jc w:val="center"/>
              <w:rPr>
                <w:lang w:val="ro-MD"/>
              </w:rPr>
            </w:pPr>
            <w:r w:rsidRPr="00423439">
              <w:rPr>
                <w:lang w:val="ro-MD"/>
              </w:rPr>
              <w:t xml:space="preserve">65. [..] </w:t>
            </w:r>
            <w:r w:rsidRPr="00423439">
              <w:rPr>
                <w:rFonts w:ascii="Arial" w:hAnsi="Arial" w:cs="Arial"/>
                <w:color w:val="000000"/>
                <w:shd w:val="clear" w:color="auto" w:fill="FFFFFF"/>
                <w:lang w:val="ro-MD"/>
              </w:rPr>
              <w:t xml:space="preserve"> </w:t>
            </w:r>
            <w:r w:rsidRPr="00423439">
              <w:rPr>
                <w:lang w:val="ro-MD"/>
              </w:rPr>
              <w:t>Curtea constată că nu i-a fost prezentată nicio expertiză medicală care să menţioneze cauzele acestor afecţiuni sau evoluţia lor nefavorabilă în timpul detenţiei reclamantului. În aceste circumstanţe, Curtea nu este în măsură să adopte o poziţie cu privire la acest aspect.</w:t>
            </w:r>
          </w:p>
        </w:tc>
        <w:tc>
          <w:tcPr>
            <w:tcW w:w="4111" w:type="dxa"/>
            <w:tcBorders>
              <w:top w:val="single" w:sz="8" w:space="0" w:color="auto"/>
              <w:bottom w:val="single" w:sz="8" w:space="0" w:color="auto"/>
              <w:right w:val="single" w:sz="12" w:space="0" w:color="auto"/>
            </w:tcBorders>
          </w:tcPr>
          <w:p w14:paraId="3B5815BC" w14:textId="3E4B6D12" w:rsidR="004F223B" w:rsidRPr="00423439" w:rsidRDefault="004F223B" w:rsidP="00C542B4">
            <w:pPr>
              <w:spacing w:before="120" w:after="120"/>
              <w:jc w:val="center"/>
              <w:rPr>
                <w:lang w:val="ro-MD"/>
              </w:rPr>
            </w:pPr>
            <w:r w:rsidRPr="00423439">
              <w:rPr>
                <w:lang w:val="ro-MD"/>
              </w:rPr>
              <w:lastRenderedPageBreak/>
              <w:t xml:space="preserve">Statul pârât trebuie să plătească reclamantului, în termen de trei luni de la data rămânerii definitive a hotărârii, în conformitate cu articolul 44 § 2 din Convenţie, suma de 10 000 EUR (zece mii de euro), care va fi convertită în moneda statului pârât la rata de schimb aplicabilă la data plăţii, pentru </w:t>
            </w:r>
            <w:r w:rsidRPr="00423439">
              <w:rPr>
                <w:lang w:val="ro-MD"/>
              </w:rPr>
              <w:lastRenderedPageBreak/>
              <w:t>prejudiciul moral, plus orice sumă ce poate fi datorată cu titlu de impozit;</w:t>
            </w:r>
          </w:p>
          <w:p w14:paraId="1E27B8DE" w14:textId="6EFCF715" w:rsidR="004F223B" w:rsidRPr="00423439" w:rsidRDefault="004F223B" w:rsidP="00C542B4">
            <w:pPr>
              <w:spacing w:before="120" w:after="120"/>
              <w:jc w:val="center"/>
              <w:rPr>
                <w:lang w:val="ro-MD"/>
              </w:rPr>
            </w:pPr>
            <w:r w:rsidRPr="00423439">
              <w:rPr>
                <w:lang w:val="ro-MD"/>
              </w:rPr>
              <w:t>b) că, de la expirarea termenului menţionat şi până la efectuarea plăţii, această sumă va fi majorată cu o dobândă simplă, la o rată egală cu rata dobânzii facilităţii de împrumut marginal practicată de Banca Centrală Europeană, aplicabilă pe parcursul acestei perioade şi majorată cu trei puncte procentuale.</w:t>
            </w:r>
          </w:p>
        </w:tc>
      </w:tr>
      <w:tr w:rsidR="007E0FEB" w:rsidRPr="00423439" w14:paraId="4AB0CCF1" w14:textId="77777777" w:rsidTr="00C542B4">
        <w:trPr>
          <w:trHeight w:val="573"/>
        </w:trPr>
        <w:tc>
          <w:tcPr>
            <w:tcW w:w="16145" w:type="dxa"/>
            <w:gridSpan w:val="8"/>
            <w:tcBorders>
              <w:right w:val="single" w:sz="12" w:space="0" w:color="auto"/>
            </w:tcBorders>
          </w:tcPr>
          <w:p w14:paraId="5A6E0B35" w14:textId="1C522522" w:rsidR="007E0FEB" w:rsidRPr="00423439" w:rsidRDefault="007E0FEB" w:rsidP="00C542B4">
            <w:pPr>
              <w:spacing w:before="120" w:after="120"/>
              <w:jc w:val="center"/>
              <w:rPr>
                <w:lang w:val="ro-MD"/>
              </w:rPr>
            </w:pPr>
            <w:r w:rsidRPr="00423439">
              <w:rPr>
                <w:b/>
                <w:bCs/>
                <w:lang w:val="ro-MD"/>
              </w:rPr>
              <w:lastRenderedPageBreak/>
              <w:t>Motivul alegerii:</w:t>
            </w:r>
            <w:r w:rsidRPr="00423439">
              <w:rPr>
                <w:lang w:val="ro-MD"/>
              </w:rPr>
              <w:t xml:space="preserve"> Fumatul pasiv, care este acceptat în societate în mod tacit, a fost recunoscut de Curte ca fiind un factor ce contribuie la condiții ce depășesc pragul de gravitate impus la art. 3 din Convenţie. De asemenea, mi-a plăcut formularea Curții cu privire la ce nu se poate expune din pricina lipsei probelor referitoare la evoluția stării de sănătății și respectiv legătura cauzală.</w:t>
            </w:r>
          </w:p>
        </w:tc>
      </w:tr>
      <w:tr w:rsidR="004F223B" w:rsidRPr="00423439" w14:paraId="1CC7ECCE" w14:textId="77777777" w:rsidTr="00C542B4">
        <w:trPr>
          <w:trHeight w:val="2402"/>
        </w:trPr>
        <w:tc>
          <w:tcPr>
            <w:tcW w:w="557" w:type="dxa"/>
            <w:tcBorders>
              <w:top w:val="single" w:sz="6" w:space="0" w:color="auto"/>
              <w:left w:val="single" w:sz="12" w:space="0" w:color="auto"/>
              <w:bottom w:val="single" w:sz="8" w:space="0" w:color="auto"/>
            </w:tcBorders>
          </w:tcPr>
          <w:p w14:paraId="47642C24" w14:textId="0F38DF8B" w:rsidR="004F223B" w:rsidRPr="00423439" w:rsidRDefault="00AD71E9" w:rsidP="00C542B4">
            <w:pPr>
              <w:spacing w:before="120" w:after="120"/>
              <w:jc w:val="center"/>
              <w:rPr>
                <w:b/>
                <w:bCs/>
                <w:lang w:val="ro-MD"/>
              </w:rPr>
            </w:pPr>
            <w:r w:rsidRPr="00423439">
              <w:rPr>
                <w:b/>
                <w:bCs/>
                <w:lang w:val="ro-MD"/>
              </w:rPr>
              <w:t>15</w:t>
            </w:r>
            <w:r w:rsidR="004F223B" w:rsidRPr="00423439">
              <w:rPr>
                <w:b/>
                <w:bCs/>
                <w:lang w:val="ro-MD"/>
              </w:rPr>
              <w:t>)</w:t>
            </w:r>
          </w:p>
        </w:tc>
        <w:tc>
          <w:tcPr>
            <w:tcW w:w="1413" w:type="dxa"/>
            <w:tcBorders>
              <w:top w:val="single" w:sz="6" w:space="0" w:color="auto"/>
              <w:bottom w:val="single" w:sz="8" w:space="0" w:color="auto"/>
            </w:tcBorders>
          </w:tcPr>
          <w:p w14:paraId="0DF69338" w14:textId="77777777" w:rsidR="004F223B" w:rsidRPr="00423439" w:rsidRDefault="004F223B" w:rsidP="00C542B4">
            <w:pPr>
              <w:spacing w:before="120" w:after="120"/>
              <w:jc w:val="center"/>
              <w:rPr>
                <w:b/>
                <w:bCs/>
                <w:lang w:val="ro-MD"/>
              </w:rPr>
            </w:pPr>
            <w:r w:rsidRPr="00423439">
              <w:rPr>
                <w:b/>
                <w:bCs/>
                <w:lang w:val="ro-MD"/>
              </w:rPr>
              <w:t>Elefteriadis v. România</w:t>
            </w:r>
          </w:p>
          <w:p w14:paraId="5E2E0BCA" w14:textId="77777777" w:rsidR="004F223B" w:rsidRPr="00423439" w:rsidRDefault="004F223B" w:rsidP="00C542B4">
            <w:pPr>
              <w:spacing w:before="120" w:after="120"/>
              <w:jc w:val="center"/>
              <w:rPr>
                <w:i/>
                <w:iCs/>
                <w:lang w:val="ro-MD"/>
              </w:rPr>
            </w:pPr>
            <w:r w:rsidRPr="00423439">
              <w:rPr>
                <w:i/>
                <w:iCs/>
                <w:lang w:val="ro-MD"/>
              </w:rPr>
              <w:t xml:space="preserve">(Cererea nr. </w:t>
            </w:r>
            <w:hyperlink r:id="rId22" w:history="1">
              <w:r w:rsidRPr="00423439">
                <w:rPr>
                  <w:rStyle w:val="af4"/>
                  <w:i/>
                  <w:iCs/>
                  <w:lang w:val="ro-MD"/>
                </w:rPr>
                <w:t>38427/05</w:t>
              </w:r>
            </w:hyperlink>
            <w:r w:rsidRPr="00423439">
              <w:rPr>
                <w:i/>
                <w:iCs/>
                <w:lang w:val="ro-MD"/>
              </w:rPr>
              <w:t>)</w:t>
            </w:r>
          </w:p>
          <w:p w14:paraId="7BAE6079" w14:textId="0F69A368" w:rsidR="004F223B" w:rsidRPr="00423439" w:rsidRDefault="004F223B" w:rsidP="00C542B4">
            <w:pPr>
              <w:spacing w:before="120" w:after="120"/>
              <w:jc w:val="center"/>
              <w:rPr>
                <w:b/>
                <w:bCs/>
                <w:lang w:val="ro-MD"/>
              </w:rPr>
            </w:pPr>
            <w:r w:rsidRPr="00423439">
              <w:rPr>
                <w:b/>
                <w:bCs/>
                <w:lang w:val="ro-MD"/>
              </w:rPr>
              <w:lastRenderedPageBreak/>
              <w:t>25 ianuarie 2011</w:t>
            </w:r>
          </w:p>
        </w:tc>
        <w:tc>
          <w:tcPr>
            <w:tcW w:w="992" w:type="dxa"/>
            <w:tcBorders>
              <w:top w:val="single" w:sz="6" w:space="0" w:color="auto"/>
            </w:tcBorders>
          </w:tcPr>
          <w:p w14:paraId="3A5EA33E" w14:textId="31715EA1" w:rsidR="004F223B" w:rsidRPr="00423439" w:rsidRDefault="007E0FEB" w:rsidP="00C542B4">
            <w:pPr>
              <w:spacing w:before="120" w:after="120"/>
              <w:jc w:val="center"/>
              <w:rPr>
                <w:lang w:val="ro-MD"/>
              </w:rPr>
            </w:pPr>
            <w:r w:rsidRPr="00423439">
              <w:rPr>
                <w:lang w:val="ro-MD"/>
              </w:rPr>
              <w:lastRenderedPageBreak/>
              <w:t>C</w:t>
            </w:r>
          </w:p>
        </w:tc>
        <w:tc>
          <w:tcPr>
            <w:tcW w:w="992" w:type="dxa"/>
            <w:tcBorders>
              <w:top w:val="single" w:sz="8" w:space="0" w:color="auto"/>
              <w:bottom w:val="single" w:sz="8" w:space="0" w:color="auto"/>
            </w:tcBorders>
          </w:tcPr>
          <w:p w14:paraId="7807427E" w14:textId="123946D2" w:rsidR="004F223B" w:rsidRPr="00423439" w:rsidRDefault="004F223B" w:rsidP="00C542B4">
            <w:pPr>
              <w:spacing w:before="120" w:after="120"/>
              <w:jc w:val="center"/>
              <w:rPr>
                <w:lang w:val="ro-MD"/>
              </w:rPr>
            </w:pPr>
            <w:r w:rsidRPr="00423439">
              <w:rPr>
                <w:lang w:val="ro-MD"/>
              </w:rPr>
              <w:t>3</w:t>
            </w:r>
          </w:p>
        </w:tc>
        <w:tc>
          <w:tcPr>
            <w:tcW w:w="709" w:type="dxa"/>
            <w:tcBorders>
              <w:top w:val="single" w:sz="8" w:space="0" w:color="auto"/>
              <w:bottom w:val="single" w:sz="8" w:space="0" w:color="auto"/>
            </w:tcBorders>
          </w:tcPr>
          <w:p w14:paraId="6BB7EEFA" w14:textId="2B2EFB81" w:rsidR="004F223B" w:rsidRPr="00423439" w:rsidRDefault="004F223B" w:rsidP="00C542B4">
            <w:pPr>
              <w:spacing w:before="120" w:after="120"/>
              <w:jc w:val="center"/>
              <w:rPr>
                <w:lang w:val="ro-MD"/>
              </w:rPr>
            </w:pPr>
            <w:r w:rsidRPr="00423439">
              <w:rPr>
                <w:lang w:val="ro-MD"/>
              </w:rPr>
              <w:t>4</w:t>
            </w:r>
          </w:p>
        </w:tc>
        <w:tc>
          <w:tcPr>
            <w:tcW w:w="1276" w:type="dxa"/>
            <w:tcBorders>
              <w:top w:val="single" w:sz="8" w:space="0" w:color="auto"/>
              <w:bottom w:val="single" w:sz="8" w:space="0" w:color="auto"/>
            </w:tcBorders>
          </w:tcPr>
          <w:p w14:paraId="0A57D1C1" w14:textId="648F263A" w:rsidR="004F223B" w:rsidRPr="00423439" w:rsidRDefault="004F223B" w:rsidP="00C542B4">
            <w:pPr>
              <w:spacing w:before="120" w:after="120"/>
              <w:jc w:val="center"/>
              <w:rPr>
                <w:lang w:val="ro-MD"/>
              </w:rPr>
            </w:pPr>
            <w:r w:rsidRPr="00423439">
              <w:rPr>
                <w:lang w:val="ro-MD"/>
              </w:rPr>
              <w:t>Fumat pasiv, condiții de detenție, rele tratamente</w:t>
            </w:r>
          </w:p>
        </w:tc>
        <w:tc>
          <w:tcPr>
            <w:tcW w:w="6095" w:type="dxa"/>
            <w:tcBorders>
              <w:top w:val="single" w:sz="8" w:space="0" w:color="auto"/>
              <w:bottom w:val="single" w:sz="8" w:space="0" w:color="auto"/>
            </w:tcBorders>
          </w:tcPr>
          <w:p w14:paraId="6BC8DBB8" w14:textId="77777777" w:rsidR="004F223B" w:rsidRPr="00423439" w:rsidRDefault="004F223B" w:rsidP="00C542B4">
            <w:pPr>
              <w:spacing w:before="120" w:after="120"/>
              <w:jc w:val="center"/>
              <w:rPr>
                <w:lang w:val="ro-MD"/>
              </w:rPr>
            </w:pPr>
            <w:r w:rsidRPr="00423439">
              <w:rPr>
                <w:lang w:val="ro-MD"/>
              </w:rPr>
              <w:t xml:space="preserve">43. În ceea ce privește restul plângerii, care se referă la condițiile materiale de detenție ale reclamantului la Penitenciarul Rahova și în timpul transportului său între penitenciar și instanțele naționale, Curtea observă că Guvernul </w:t>
            </w:r>
            <w:r w:rsidRPr="00423439">
              <w:rPr>
                <w:b/>
                <w:bCs/>
                <w:lang w:val="ro-MD"/>
              </w:rPr>
              <w:t xml:space="preserve">nu a demonstrat modul în care căile de atac </w:t>
            </w:r>
            <w:r w:rsidRPr="00423439">
              <w:rPr>
                <w:b/>
                <w:bCs/>
                <w:lang w:val="ro-MD"/>
              </w:rPr>
              <w:lastRenderedPageBreak/>
              <w:t>indicate ar fi putut fi utilizate pentru a remedia aceste condiții.</w:t>
            </w:r>
          </w:p>
          <w:p w14:paraId="6B7C6703" w14:textId="381ECCF0" w:rsidR="004F223B" w:rsidRPr="00423439" w:rsidRDefault="004F223B" w:rsidP="00C542B4">
            <w:pPr>
              <w:spacing w:before="120" w:after="120"/>
              <w:jc w:val="center"/>
              <w:rPr>
                <w:i/>
                <w:iCs/>
                <w:lang w:val="ro-MD"/>
              </w:rPr>
            </w:pPr>
            <w:r w:rsidRPr="00423439">
              <w:rPr>
                <w:lang w:val="ro-MD"/>
              </w:rPr>
              <w:t xml:space="preserve">47. [..] articolul 3 impune statului o obligație pozitivă </w:t>
            </w:r>
            <w:r w:rsidRPr="00423439">
              <w:rPr>
                <w:i/>
                <w:iCs/>
                <w:lang w:val="ro-MD"/>
              </w:rPr>
              <w:t>de a se asigura că fiecare deținut este deținut în condiții compatibile cu respectarea demnității umane, că modalitățile de executare a măsurii nu supun persoana în cauză la o suferință sau greutăți de o intensitate care depășește nivelul inevitabil de suferință inerent detenției și că, având în vedere cerințele practice ale încarcerării, sănătatea și bunăstarea deținutului sunt asigurate în mod adecvat, în special prin administrarea îngrijirilor medicale necesare.</w:t>
            </w:r>
          </w:p>
          <w:p w14:paraId="7412F678" w14:textId="10A8E7A3" w:rsidR="004F223B" w:rsidRPr="00423439" w:rsidRDefault="004F223B" w:rsidP="00C542B4">
            <w:pPr>
              <w:spacing w:before="120" w:after="120"/>
              <w:jc w:val="center"/>
              <w:rPr>
                <w:lang w:val="ro-MD"/>
              </w:rPr>
            </w:pPr>
            <w:r w:rsidRPr="00423439">
              <w:rPr>
                <w:lang w:val="ro-MD"/>
              </w:rPr>
              <w:t xml:space="preserve">50. Faptul că centrul de detenție în cauză era supraaglomerat în momentul evenimentelor – fapt confirmat de CPT în rapoartele sale în urma vizitelor efectuate în închisorile din România (a se vedea paragrafele 35 și 36 de mai sus) – nu a exonerat în niciun fel autoritățile de obligația lor de a proteja sănătatea reclamantului. Este adevărat că acesta pare să fi beneficiat, de plimbări zilnice în curtea închisorii, activități sportive de trei ori pe săptămână și o celulă relativ mare, cu lumină naturală și ventilație, și nu supraaglomerată. Cu toate acestea, astfel de circumstanțe, oricât de pozitive ar fi fost, </w:t>
            </w:r>
            <w:r w:rsidRPr="00423439">
              <w:rPr>
                <w:b/>
                <w:bCs/>
                <w:lang w:val="ro-MD"/>
              </w:rPr>
              <w:t xml:space="preserve">nu au fost suficiente pentru a atenua efectele nocive ale fumului de tutun pasiv pe care reclamantul le-a suferit ca </w:t>
            </w:r>
            <w:r w:rsidRPr="00423439">
              <w:rPr>
                <w:b/>
                <w:bCs/>
                <w:lang w:val="ro-MD"/>
              </w:rPr>
              <w:lastRenderedPageBreak/>
              <w:t>urmare a faptului că a fost cazat împreună cu deținuți fumători.</w:t>
            </w:r>
          </w:p>
          <w:p w14:paraId="1EC10A8C" w14:textId="77777777" w:rsidR="004F223B" w:rsidRPr="00423439" w:rsidRDefault="004F223B" w:rsidP="00C542B4">
            <w:pPr>
              <w:spacing w:before="120" w:after="120"/>
              <w:jc w:val="center"/>
              <w:rPr>
                <w:b/>
                <w:bCs/>
                <w:lang w:val="ro-MD"/>
              </w:rPr>
            </w:pPr>
            <w:r w:rsidRPr="00423439">
              <w:rPr>
                <w:lang w:val="ro-MD"/>
              </w:rPr>
              <w:t xml:space="preserve">51.  [..] Atunci când o persoană este plasată sub responsabilitatea statului, având o stare de sănătate bună, iar acest lucru nu mai este valabil la eliberarea sa sau, ca în cazul de față, după o anumită perioadă de detenție înainte de eliberare, </w:t>
            </w:r>
            <w:r w:rsidRPr="00423439">
              <w:rPr>
                <w:b/>
                <w:bCs/>
                <w:lang w:val="ro-MD"/>
              </w:rPr>
              <w:t>statul are obligația de a oferi o explicație plauzibilă pentru această situație, în caz contrar putând apărea o întrebare în temeiul articolului 3 din Convenție.</w:t>
            </w:r>
          </w:p>
          <w:p w14:paraId="66168000" w14:textId="6FF2E722" w:rsidR="004F223B" w:rsidRPr="00423439" w:rsidRDefault="004F223B" w:rsidP="00C542B4">
            <w:pPr>
              <w:spacing w:before="120" w:after="120"/>
              <w:jc w:val="center"/>
              <w:rPr>
                <w:lang w:val="ro-MD"/>
              </w:rPr>
            </w:pPr>
            <w:r w:rsidRPr="00423439">
              <w:rPr>
                <w:lang w:val="ro-MD"/>
              </w:rPr>
              <w:t>54. [..] În acest sens, Curtea consideră că simplul fapt că situația reclamantului a încetat între timp din cauza transferului său în condiții mai favorabile nu a exonerat instanțele naționale de obligația lor de a examina dacă această situație a avut sau nu efecte dăunătoare asupra reclamantului și, în caz afirmativ, de a-i acorda despăgubiri. Pe de altă parte, chiar admițând că, în general, revine oricărei persoane care formulează o cerere în instanță să furnizeze dovezi pentru afirmațiile sale, Curtea nu consideră rezonabil, în circumstanțele cauzei de față, să impună reclamantului obligația de a dovedi temeinicia cererilor sale prin intermediul unor probe care să ateste suferințele cauzate de detenția în condiții contrare articolului 3 din Convenție.</w:t>
            </w:r>
            <w:r w:rsidRPr="00423439">
              <w:rPr>
                <w:b/>
                <w:bCs/>
                <w:lang w:val="ro-MD"/>
              </w:rPr>
              <w:t xml:space="preserve"> O astfel de abordare formalistă este probabil să împiedice acordarea de despăgubiri în multe cazuri, în care </w:t>
            </w:r>
            <w:r w:rsidRPr="00423439">
              <w:rPr>
                <w:b/>
                <w:bCs/>
                <w:lang w:val="ro-MD"/>
              </w:rPr>
              <w:lastRenderedPageBreak/>
              <w:t>detenția nu este însoțită de o deteriorare obiectiv perceptibilă a stării fizice sau mentale a deținutului.</w:t>
            </w:r>
          </w:p>
        </w:tc>
        <w:tc>
          <w:tcPr>
            <w:tcW w:w="4111" w:type="dxa"/>
            <w:tcBorders>
              <w:top w:val="single" w:sz="8" w:space="0" w:color="auto"/>
              <w:bottom w:val="single" w:sz="8" w:space="0" w:color="auto"/>
              <w:right w:val="single" w:sz="12" w:space="0" w:color="auto"/>
            </w:tcBorders>
          </w:tcPr>
          <w:p w14:paraId="66C0CD70" w14:textId="69D55F81" w:rsidR="004F223B" w:rsidRPr="00423439" w:rsidRDefault="004F223B" w:rsidP="00C542B4">
            <w:pPr>
              <w:spacing w:before="120" w:after="120"/>
              <w:jc w:val="center"/>
              <w:rPr>
                <w:lang w:val="ro-MD"/>
              </w:rPr>
            </w:pPr>
            <w:r w:rsidRPr="00423439">
              <w:rPr>
                <w:lang w:val="ro-MD"/>
              </w:rPr>
              <w:lastRenderedPageBreak/>
              <w:t xml:space="preserve">Statul pârât trebuie să plătească reclamantului, în termen de trei luni de la data la care hotărârea devine definitivă în conformitate cu articolul 44 § 2 din Convenție, 4.000 EUR (patru mii de euro) pentru prejudiciu moral, care urmează a fi convertit în moneda </w:t>
            </w:r>
            <w:r w:rsidRPr="00423439">
              <w:rPr>
                <w:lang w:val="ro-MD"/>
              </w:rPr>
              <w:lastRenderedPageBreak/>
              <w:t>statului pârât la cursul de schimb aplicabil la data soluționării, plus orice sumă care poate fi exigibilă cu titlu de impozit ;</w:t>
            </w:r>
          </w:p>
          <w:p w14:paraId="08396442" w14:textId="30EF0214" w:rsidR="004F223B" w:rsidRPr="00423439" w:rsidRDefault="004F223B" w:rsidP="00C542B4">
            <w:pPr>
              <w:spacing w:before="120" w:after="120"/>
              <w:jc w:val="center"/>
              <w:rPr>
                <w:lang w:val="ro-MD"/>
              </w:rPr>
            </w:pPr>
            <w:r w:rsidRPr="00423439">
              <w:rPr>
                <w:lang w:val="ro-MD"/>
              </w:rPr>
              <w:t>b) că, de la expirarea perioadei menționate până la efectuarea plății, această sumă se majorează cu o dobândă simplă la o rată egală cu cea a facilității de credit marginală a Băncii Centrale Europene aplicabilă în perioada respectivă, plus trei puncte procentuale.</w:t>
            </w:r>
          </w:p>
        </w:tc>
      </w:tr>
      <w:tr w:rsidR="007E0FEB" w:rsidRPr="00423439" w14:paraId="6FA942B5" w14:textId="77777777" w:rsidTr="00C542B4">
        <w:trPr>
          <w:trHeight w:val="2402"/>
        </w:trPr>
        <w:tc>
          <w:tcPr>
            <w:tcW w:w="16145" w:type="dxa"/>
            <w:gridSpan w:val="8"/>
            <w:tcBorders>
              <w:top w:val="single" w:sz="6" w:space="0" w:color="auto"/>
              <w:right w:val="single" w:sz="12" w:space="0" w:color="auto"/>
            </w:tcBorders>
          </w:tcPr>
          <w:p w14:paraId="4DBD3BBB" w14:textId="5BA96584" w:rsidR="007E0FEB" w:rsidRPr="00423439" w:rsidRDefault="007E0FEB" w:rsidP="00C542B4">
            <w:pPr>
              <w:spacing w:before="120" w:after="120"/>
              <w:jc w:val="center"/>
              <w:rPr>
                <w:lang w:val="ro-MD"/>
              </w:rPr>
            </w:pPr>
            <w:r w:rsidRPr="00423439">
              <w:rPr>
                <w:b/>
                <w:bCs/>
                <w:lang w:val="ro-MD"/>
              </w:rPr>
              <w:lastRenderedPageBreak/>
              <w:t>Motivul alegerii:</w:t>
            </w:r>
            <w:r w:rsidRPr="00423439">
              <w:rPr>
                <w:lang w:val="ro-MD"/>
              </w:rPr>
              <w:t xml:space="preserve"> Aceleași circumstanțe ca și cazul precedent, în special în privința României, care, (din perspectiva unei persoane cu afecțiuni respiratorii cronice) este un stat unde fumatul este normalizat pe larg. În această cauză, în special, am apreciat reiterările Curții și anticiparea consecințelor care ar fi provocate de o reversare a sarcinii probațiunii pe reclamant referitor la probe care au cauzat suferințe în detenție și evoluția lor. Ador raționamentul Curții. Este un mod de analiză pe care foarte rar, sau chiar de loc nu îl întâlnesc în viața de zi cu zi.</w:t>
            </w:r>
          </w:p>
        </w:tc>
      </w:tr>
      <w:tr w:rsidR="004F223B" w:rsidRPr="00870AB7" w14:paraId="126AF925" w14:textId="77777777" w:rsidTr="00C542B4">
        <w:trPr>
          <w:trHeight w:val="2402"/>
        </w:trPr>
        <w:tc>
          <w:tcPr>
            <w:tcW w:w="557" w:type="dxa"/>
            <w:tcBorders>
              <w:top w:val="single" w:sz="8" w:space="0" w:color="auto"/>
              <w:left w:val="single" w:sz="12" w:space="0" w:color="auto"/>
              <w:bottom w:val="single" w:sz="8" w:space="0" w:color="auto"/>
            </w:tcBorders>
          </w:tcPr>
          <w:p w14:paraId="35820819" w14:textId="0E72A4A1" w:rsidR="004F223B" w:rsidRPr="00423439" w:rsidRDefault="00AD71E9" w:rsidP="00C542B4">
            <w:pPr>
              <w:spacing w:before="120" w:after="120"/>
              <w:jc w:val="center"/>
              <w:rPr>
                <w:b/>
                <w:bCs/>
                <w:lang w:val="ro-MD"/>
              </w:rPr>
            </w:pPr>
            <w:r w:rsidRPr="00423439">
              <w:rPr>
                <w:b/>
                <w:bCs/>
                <w:lang w:val="ro-MD"/>
              </w:rPr>
              <w:t>16</w:t>
            </w:r>
            <w:r w:rsidR="004F223B" w:rsidRPr="00423439">
              <w:rPr>
                <w:b/>
                <w:bCs/>
                <w:lang w:val="ro-MD"/>
              </w:rPr>
              <w:t>)</w:t>
            </w:r>
          </w:p>
        </w:tc>
        <w:tc>
          <w:tcPr>
            <w:tcW w:w="1413" w:type="dxa"/>
            <w:tcBorders>
              <w:top w:val="single" w:sz="12" w:space="0" w:color="auto"/>
              <w:bottom w:val="single" w:sz="8" w:space="0" w:color="auto"/>
            </w:tcBorders>
          </w:tcPr>
          <w:p w14:paraId="69175105" w14:textId="77777777" w:rsidR="004F223B" w:rsidRPr="00423439" w:rsidRDefault="004F223B" w:rsidP="00C542B4">
            <w:pPr>
              <w:spacing w:before="120" w:after="120"/>
              <w:jc w:val="center"/>
              <w:rPr>
                <w:b/>
                <w:bCs/>
                <w:lang w:val="ro-MD"/>
              </w:rPr>
            </w:pPr>
            <w:r w:rsidRPr="00423439">
              <w:rPr>
                <w:b/>
                <w:bCs/>
                <w:lang w:val="ro-MD"/>
              </w:rPr>
              <w:t>Tătar v. România</w:t>
            </w:r>
          </w:p>
          <w:p w14:paraId="34AFAA41" w14:textId="77777777" w:rsidR="004F223B" w:rsidRPr="00423439" w:rsidRDefault="004F223B" w:rsidP="00C542B4">
            <w:pPr>
              <w:spacing w:before="120" w:after="120"/>
              <w:jc w:val="center"/>
              <w:rPr>
                <w:i/>
                <w:iCs/>
                <w:lang w:val="ro-MD"/>
              </w:rPr>
            </w:pPr>
            <w:r w:rsidRPr="00423439">
              <w:rPr>
                <w:i/>
                <w:iCs/>
                <w:lang w:val="ro-MD"/>
              </w:rPr>
              <w:t xml:space="preserve">(Cererea nr. </w:t>
            </w:r>
            <w:hyperlink r:id="rId23" w:history="1">
              <w:r w:rsidRPr="00423439">
                <w:rPr>
                  <w:rStyle w:val="af4"/>
                  <w:i/>
                  <w:iCs/>
                  <w:lang w:val="ro-MD"/>
                </w:rPr>
                <w:t>67021/01</w:t>
              </w:r>
            </w:hyperlink>
            <w:r w:rsidRPr="00423439">
              <w:rPr>
                <w:i/>
                <w:iCs/>
                <w:lang w:val="ro-MD"/>
              </w:rPr>
              <w:t>)</w:t>
            </w:r>
          </w:p>
          <w:p w14:paraId="587D6E6A" w14:textId="2B20D490" w:rsidR="004F223B" w:rsidRPr="00423439" w:rsidRDefault="004F223B" w:rsidP="00C542B4">
            <w:pPr>
              <w:spacing w:before="120" w:after="120"/>
              <w:jc w:val="center"/>
              <w:rPr>
                <w:b/>
                <w:bCs/>
                <w:lang w:val="ro-MD"/>
              </w:rPr>
            </w:pPr>
            <w:r w:rsidRPr="00423439">
              <w:rPr>
                <w:b/>
                <w:bCs/>
                <w:lang w:val="ro-MD"/>
              </w:rPr>
              <w:t>27 ianuarie 2009</w:t>
            </w:r>
          </w:p>
        </w:tc>
        <w:tc>
          <w:tcPr>
            <w:tcW w:w="992" w:type="dxa"/>
            <w:tcBorders>
              <w:top w:val="single" w:sz="12" w:space="0" w:color="auto"/>
            </w:tcBorders>
          </w:tcPr>
          <w:p w14:paraId="4F8B54D6" w14:textId="1B4C4558" w:rsidR="004F223B" w:rsidRPr="00423439" w:rsidRDefault="007E0FEB" w:rsidP="00C542B4">
            <w:pPr>
              <w:spacing w:before="120" w:after="120"/>
              <w:jc w:val="center"/>
              <w:rPr>
                <w:lang w:val="ro-MD"/>
              </w:rPr>
            </w:pPr>
            <w:r w:rsidRPr="00423439">
              <w:rPr>
                <w:lang w:val="ro-MD"/>
              </w:rPr>
              <w:t>C</w:t>
            </w:r>
          </w:p>
        </w:tc>
        <w:tc>
          <w:tcPr>
            <w:tcW w:w="992" w:type="dxa"/>
            <w:tcBorders>
              <w:top w:val="single" w:sz="12" w:space="0" w:color="auto"/>
              <w:bottom w:val="single" w:sz="8" w:space="0" w:color="auto"/>
            </w:tcBorders>
          </w:tcPr>
          <w:p w14:paraId="5F01AF59" w14:textId="2FEA6E04" w:rsidR="004F223B" w:rsidRPr="00423439" w:rsidRDefault="004F223B" w:rsidP="00C542B4">
            <w:pPr>
              <w:spacing w:before="120" w:after="120"/>
              <w:jc w:val="center"/>
              <w:rPr>
                <w:lang w:val="ro-MD"/>
              </w:rPr>
            </w:pPr>
            <w:r w:rsidRPr="00423439">
              <w:rPr>
                <w:lang w:val="ro-MD"/>
              </w:rPr>
              <w:t>8</w:t>
            </w:r>
          </w:p>
        </w:tc>
        <w:tc>
          <w:tcPr>
            <w:tcW w:w="709" w:type="dxa"/>
            <w:tcBorders>
              <w:top w:val="single" w:sz="8" w:space="0" w:color="auto"/>
              <w:bottom w:val="single" w:sz="8" w:space="0" w:color="auto"/>
            </w:tcBorders>
          </w:tcPr>
          <w:p w14:paraId="5EB0D72D" w14:textId="4ECDB999" w:rsidR="004F223B" w:rsidRPr="00423439" w:rsidRDefault="004F223B" w:rsidP="00C542B4">
            <w:pPr>
              <w:spacing w:before="120" w:after="120"/>
              <w:jc w:val="center"/>
              <w:rPr>
                <w:lang w:val="ro-MD"/>
              </w:rPr>
            </w:pPr>
            <w:r w:rsidRPr="00423439">
              <w:rPr>
                <w:lang w:val="ro-MD"/>
              </w:rPr>
              <w:t>14</w:t>
            </w:r>
          </w:p>
        </w:tc>
        <w:tc>
          <w:tcPr>
            <w:tcW w:w="1276" w:type="dxa"/>
            <w:tcBorders>
              <w:top w:val="single" w:sz="8" w:space="0" w:color="auto"/>
              <w:bottom w:val="single" w:sz="8" w:space="0" w:color="auto"/>
            </w:tcBorders>
          </w:tcPr>
          <w:p w14:paraId="413BBE20" w14:textId="3818D491" w:rsidR="004F223B" w:rsidRPr="00423439" w:rsidRDefault="004F223B" w:rsidP="00C542B4">
            <w:pPr>
              <w:spacing w:before="120" w:after="120"/>
              <w:jc w:val="center"/>
              <w:rPr>
                <w:lang w:val="ro-MD"/>
              </w:rPr>
            </w:pPr>
            <w:r w:rsidRPr="00423439">
              <w:rPr>
                <w:lang w:val="ro-MD"/>
              </w:rPr>
              <w:t xml:space="preserve">Minieră auriferă, poluare, </w:t>
            </w:r>
            <w:r w:rsidRPr="00423439">
              <w:rPr>
                <w:rFonts w:ascii="Arial" w:hAnsi="Arial" w:cs="Arial"/>
                <w:color w:val="000000"/>
                <w:shd w:val="clear" w:color="auto" w:fill="FFFFFF"/>
                <w:lang w:val="ro-MD"/>
              </w:rPr>
              <w:t xml:space="preserve"> </w:t>
            </w:r>
            <w:r w:rsidRPr="00423439">
              <w:rPr>
                <w:lang w:val="ro-MD"/>
              </w:rPr>
              <w:t>cianură de sodiu, afectarea sănătății, accident ecologic</w:t>
            </w:r>
          </w:p>
        </w:tc>
        <w:tc>
          <w:tcPr>
            <w:tcW w:w="6095" w:type="dxa"/>
            <w:tcBorders>
              <w:top w:val="single" w:sz="8" w:space="0" w:color="auto"/>
              <w:bottom w:val="single" w:sz="8" w:space="0" w:color="auto"/>
            </w:tcBorders>
          </w:tcPr>
          <w:p w14:paraId="27359B92" w14:textId="14E6C215" w:rsidR="004F223B" w:rsidRPr="00423439" w:rsidRDefault="004F223B" w:rsidP="00C542B4">
            <w:pPr>
              <w:spacing w:before="120" w:after="120"/>
              <w:jc w:val="center"/>
              <w:rPr>
                <w:lang w:val="ro-MD"/>
              </w:rPr>
            </w:pPr>
            <w:r w:rsidRPr="00423439">
              <w:rPr>
                <w:lang w:val="ro-MD"/>
              </w:rPr>
              <w:t>86. [..]</w:t>
            </w:r>
            <w:r w:rsidRPr="00423439">
              <w:rPr>
                <w:i/>
                <w:iCs/>
                <w:lang w:val="ro-MD"/>
              </w:rPr>
              <w:t xml:space="preserve"> În cazul în care o persoană este afectată în mod direct şi grav de zgomot sau de alte forme de poluare</w:t>
            </w:r>
            <w:r w:rsidRPr="00423439">
              <w:rPr>
                <w:lang w:val="ro-MD"/>
              </w:rPr>
              <w:t>, se poate ridica o problemă în temeiul art. 8.</w:t>
            </w:r>
          </w:p>
          <w:p w14:paraId="2CE44C6D" w14:textId="77777777" w:rsidR="004F223B" w:rsidRPr="00423439" w:rsidRDefault="004F223B" w:rsidP="00C542B4">
            <w:pPr>
              <w:spacing w:before="120" w:after="120"/>
              <w:jc w:val="center"/>
              <w:rPr>
                <w:lang w:val="ro-MD"/>
              </w:rPr>
            </w:pPr>
            <w:r w:rsidRPr="00423439">
              <w:rPr>
                <w:lang w:val="ro-MD"/>
              </w:rPr>
              <w:t>87. Prin urmare, art. 8 se poate aplica în cauzele privind mediul, fie că poluarea este cauzată direct de stat, fie că răspunderea acestuia din urmă rezultă din absenţa unei reglementări adecvate a activităţii sectorului privat. Dacă art. 8 are în principal ca obiect protejarea individului împotriva imixtiunilor arbitrare ale autorităţilor publice, acesta nu se limitează doar la a obliga statul să nu intervină: acestui angajament, mai degrabă negativ, i se pot adăuga obligaţii pozitive inerente unei respectări efective a vieţii private sau de familie.</w:t>
            </w:r>
          </w:p>
          <w:p w14:paraId="4747E3A4" w14:textId="77777777" w:rsidR="004F223B" w:rsidRPr="00423439" w:rsidRDefault="004F223B" w:rsidP="00C542B4">
            <w:pPr>
              <w:spacing w:before="120" w:after="120"/>
              <w:jc w:val="center"/>
              <w:rPr>
                <w:lang w:val="ro-MD"/>
              </w:rPr>
            </w:pPr>
            <w:r w:rsidRPr="00423439">
              <w:rPr>
                <w:lang w:val="ro-MD"/>
              </w:rPr>
              <w:lastRenderedPageBreak/>
              <w:t xml:space="preserve">88. Obligaţia pozitivă de a lua toate măsurile rezonabile şi adecvate pentru protejarea drepturilor pe care reclamanţii le au în temeiul art. 8 § 1 presupune, în primul rând, obligaţia principală a statelor de a crea un cadru legislativ şi administrativ care să aibă drept obiectiv prevenirea eficace a daunelor asupra mediului şi asupra sănătăţii umane. [..]  Este necesar, de asemenea, să se sublinieze că procesul decizional trebuie să presupună în primul rând realizarea unor anchete şi a unor studii corespunzătoare, astfel încât să se prevină şi să se </w:t>
            </w:r>
            <w:r w:rsidRPr="00423439">
              <w:rPr>
                <w:b/>
                <w:bCs/>
                <w:lang w:val="ro-MD"/>
              </w:rPr>
              <w:t>evalueze anticipat</w:t>
            </w:r>
            <w:r w:rsidRPr="00423439">
              <w:rPr>
                <w:lang w:val="ro-MD"/>
              </w:rPr>
              <w:t xml:space="preserve"> efectele activităţilor care pot aduce atingere mediului şi drepturilor persoanelor şi să se permită astfel stabilirea unui echilibru just între diversele interese concurente implicate.</w:t>
            </w:r>
          </w:p>
          <w:p w14:paraId="1BC05E28" w14:textId="5B5DC359" w:rsidR="004F223B" w:rsidRPr="00423439" w:rsidRDefault="004F223B" w:rsidP="00C542B4">
            <w:pPr>
              <w:spacing w:before="120" w:after="120"/>
              <w:jc w:val="center"/>
              <w:rPr>
                <w:lang w:val="ro-MD"/>
              </w:rPr>
            </w:pPr>
            <w:r w:rsidRPr="00423439">
              <w:rPr>
                <w:lang w:val="ro-MD"/>
              </w:rPr>
              <w:t xml:space="preserve">96. Curtea nu găseşte nici un motiv pentru a pune la îndoială sinceritatea observaţiilor formulate de reclamanţi în această privinţă. Desigur, astfel cum rezultă din prima analiză a situaţiei </w:t>
            </w:r>
            <w:r w:rsidRPr="00423439">
              <w:rPr>
                <w:i/>
                <w:iCs/>
                <w:lang w:val="ro-MD"/>
              </w:rPr>
              <w:t>de facto</w:t>
            </w:r>
            <w:r w:rsidRPr="00423439">
              <w:rPr>
                <w:lang w:val="ro-MD"/>
              </w:rPr>
              <w:t xml:space="preserve">, aceştia nu au reuşit să obţină din partea autorităţilor interne nici un document oficial care să ateste că activitatea societăţii </w:t>
            </w:r>
            <w:r w:rsidRPr="00423439">
              <w:rPr>
                <w:i/>
                <w:iCs/>
                <w:lang w:val="ro-MD"/>
              </w:rPr>
              <w:t>Aurul</w:t>
            </w:r>
            <w:r w:rsidRPr="00423439">
              <w:rPr>
                <w:lang w:val="ro-MD"/>
              </w:rPr>
              <w:t xml:space="preserve"> reprezenta un pericol pentru sănătatea acestora. Cu toate acestea, existenţa unui pericol de poluare cu substanţe chimice periculoase pentru sănătatea oamenilor </w:t>
            </w:r>
            <w:r w:rsidRPr="00423439">
              <w:rPr>
                <w:b/>
                <w:bCs/>
                <w:lang w:val="ro-MD"/>
              </w:rPr>
              <w:t>poate fi identificată fără nici un dubiu</w:t>
            </w:r>
            <w:r w:rsidRPr="00423439">
              <w:rPr>
                <w:lang w:val="ro-MD"/>
              </w:rPr>
              <w:t xml:space="preserve"> din studiile de impact asupra mediului depuse la dosar de către guvernul pârât după comunicarea cererii.</w:t>
            </w:r>
          </w:p>
          <w:p w14:paraId="0A4F44CE" w14:textId="2CEA19BE" w:rsidR="004F223B" w:rsidRPr="00423439" w:rsidRDefault="004F223B" w:rsidP="00C542B4">
            <w:pPr>
              <w:spacing w:before="120" w:after="120"/>
              <w:jc w:val="center"/>
              <w:rPr>
                <w:lang w:val="ro-MD"/>
              </w:rPr>
            </w:pPr>
            <w:r w:rsidRPr="00423439">
              <w:rPr>
                <w:lang w:val="ro-MD"/>
              </w:rPr>
              <w:lastRenderedPageBreak/>
              <w:t>98. Curtea reaminteşte că, în speţă, reclamanţii se plâng în esenţă nu de un act, ci de o lipsă de acţiune din partea statului. [..]</w:t>
            </w:r>
          </w:p>
          <w:p w14:paraId="558EF548" w14:textId="250F8421" w:rsidR="004F223B" w:rsidRPr="00423439" w:rsidRDefault="004F223B" w:rsidP="00C542B4">
            <w:pPr>
              <w:spacing w:before="120" w:after="120"/>
              <w:jc w:val="center"/>
              <w:rPr>
                <w:lang w:val="ro-MD"/>
              </w:rPr>
            </w:pPr>
            <w:r w:rsidRPr="00423439">
              <w:rPr>
                <w:lang w:val="ro-MD"/>
              </w:rPr>
              <w:t>113. În cadrul obligaţiilor pozitive care decurg din art. 8 din convenţie, Curtea ţine să sublinieze importanţa dreptului publicului la informare, astfel cum a fost consacrat de jurisprudenţa sa [..]</w:t>
            </w:r>
          </w:p>
          <w:p w14:paraId="1BFB15A0" w14:textId="2B1EF23F" w:rsidR="004F223B" w:rsidRPr="00423439" w:rsidRDefault="004F223B" w:rsidP="00C542B4">
            <w:pPr>
              <w:spacing w:before="120" w:after="120"/>
              <w:jc w:val="center"/>
              <w:rPr>
                <w:lang w:val="ro-MD"/>
              </w:rPr>
            </w:pPr>
            <w:r w:rsidRPr="00423439">
              <w:rPr>
                <w:lang w:val="ro-MD"/>
              </w:rPr>
              <w:t>120.  [..] În acest sens, Curtea reaminteşte importanţa principiului precauţiei (consacrat pentru prima dată de Declaraţia de la Rio), principiu care „se aplică în vederea asigurării unui nivel ridicat de protecţie a sănătăţii, a securităţii consumatorilor şi a mediului, în cadrul activităţilor Comunităţii”.</w:t>
            </w:r>
          </w:p>
          <w:p w14:paraId="7EEF93BA" w14:textId="67561FD1" w:rsidR="004F223B" w:rsidRPr="00423439" w:rsidRDefault="004F223B" w:rsidP="00C542B4">
            <w:pPr>
              <w:spacing w:before="120" w:after="120"/>
              <w:jc w:val="center"/>
              <w:rPr>
                <w:lang w:val="ro-MD"/>
              </w:rPr>
            </w:pPr>
            <w:r w:rsidRPr="00423439">
              <w:rPr>
                <w:lang w:val="ro-MD"/>
              </w:rPr>
              <w:t xml:space="preserve">121. Curtea observă că obligaţiile pozitive inerente de a respecta efectiv viaţa privată sau de familie impuse autorităţilor naţionale se aplicau, de asemenea şi chiar </w:t>
            </w:r>
            <w:r w:rsidRPr="00423439">
              <w:rPr>
                <w:i/>
                <w:iCs/>
                <w:lang w:val="ro-MD"/>
              </w:rPr>
              <w:t>a fortiori</w:t>
            </w:r>
            <w:r w:rsidRPr="00423439">
              <w:rPr>
                <w:lang w:val="ro-MD"/>
              </w:rPr>
              <w:t>, perioadei ulterioare accidentului din ianuarie 2000.</w:t>
            </w:r>
          </w:p>
          <w:p w14:paraId="2BF9B73B" w14:textId="429EF627" w:rsidR="004F223B" w:rsidRPr="00423439" w:rsidRDefault="004F223B" w:rsidP="00C542B4">
            <w:pPr>
              <w:spacing w:before="120" w:after="120"/>
              <w:jc w:val="center"/>
              <w:rPr>
                <w:lang w:val="ro-MD"/>
              </w:rPr>
            </w:pPr>
            <w:r w:rsidRPr="00423439">
              <w:rPr>
                <w:lang w:val="ro-MD"/>
              </w:rPr>
              <w:t xml:space="preserve">122. Având în vedere consecinţele accidentului ecologic asupra sănătăţii şi asupra mediului, astfel cum au fost constatate de studiile şi rapoartele internaţionale, Curtea consideră că populaţia oraşului Baia Mare, din care fac parte şi reclamanţii, a trebuit să trăiască într-o stare de angoasă şi de incertitudine accentuate de pasivitatea autorităţilor naţionale, care aveau obligaţia să ofere informaţii suficiente </w:t>
            </w:r>
            <w:r w:rsidRPr="00423439">
              <w:rPr>
                <w:lang w:val="ro-MD"/>
              </w:rPr>
              <w:lastRenderedPageBreak/>
              <w:t>şi detaliate cu privire la consecinţele trecute, prezente şi viitoare ale accidentului ecologic asupra sănătăţii lor şi asupra mediului şi cu privire la măsurile de prevenire şi recomandările adresate populaţiilor care ar putea fi afectate în viitor de evenimente similare. La acestea se adaugă şi teama generată de continuarea desfăşurării activităţii şi de posibilitatea repetării, în viitor, a aceluiaşi accident.</w:t>
            </w:r>
          </w:p>
        </w:tc>
        <w:tc>
          <w:tcPr>
            <w:tcW w:w="4111" w:type="dxa"/>
            <w:tcBorders>
              <w:top w:val="single" w:sz="8" w:space="0" w:color="auto"/>
              <w:bottom w:val="single" w:sz="8" w:space="0" w:color="auto"/>
              <w:right w:val="single" w:sz="12" w:space="0" w:color="auto"/>
            </w:tcBorders>
          </w:tcPr>
          <w:p w14:paraId="75E3746B" w14:textId="7EE0406E" w:rsidR="004F223B" w:rsidRPr="00423439" w:rsidRDefault="004F223B" w:rsidP="00C542B4">
            <w:pPr>
              <w:spacing w:before="120" w:after="120"/>
              <w:jc w:val="center"/>
              <w:rPr>
                <w:lang w:val="ro-MD"/>
              </w:rPr>
            </w:pPr>
            <w:r w:rsidRPr="00423439">
              <w:rPr>
                <w:lang w:val="ro-MD"/>
              </w:rPr>
              <w:lastRenderedPageBreak/>
              <w:t>Statul pârât trebuie să plătească împreună reclamanţilor, în termen de trei luni de la data rămânerii definitive a prezentei hotărâri, în conformitate cu art. 44 § 2 din convenţie, suma de 6 266 EUR (şase mii două sute şaizeci şi şase euro), plus orice sumă ce poate fi datorată cu titlu de impozit de către aceştia, pentru cheltuieli, care trebuie convertită în moneda naţională a statului pârât la rata de schimb aplicabilă la data plăţii;</w:t>
            </w:r>
          </w:p>
          <w:p w14:paraId="25F7119A" w14:textId="70E84F5D" w:rsidR="004F223B" w:rsidRPr="00423439" w:rsidRDefault="004F223B" w:rsidP="00C542B4">
            <w:pPr>
              <w:spacing w:before="120" w:after="120"/>
              <w:jc w:val="center"/>
              <w:rPr>
                <w:lang w:val="ro-MD"/>
              </w:rPr>
            </w:pPr>
            <w:r w:rsidRPr="00423439">
              <w:rPr>
                <w:lang w:val="ro-MD"/>
              </w:rPr>
              <w:lastRenderedPageBreak/>
              <w:t>b) că, de la expirarea termenului menţionat şi până la efectuarea plăţii, aceste sume trebuie majorate cu o dobândă simplă, la o rată egală cu rata dobânzii facilităţii de împrumut marginal practicată de Banca Centrală Europeană, aplicabilă pe parcursul acestei perioade şi majorată cu trei puncte procentuale.</w:t>
            </w:r>
          </w:p>
        </w:tc>
      </w:tr>
      <w:tr w:rsidR="007E0FEB" w:rsidRPr="00423439" w14:paraId="29F9EE35" w14:textId="77777777" w:rsidTr="00C542B4">
        <w:trPr>
          <w:trHeight w:val="1041"/>
        </w:trPr>
        <w:tc>
          <w:tcPr>
            <w:tcW w:w="16145" w:type="dxa"/>
            <w:gridSpan w:val="8"/>
            <w:tcBorders>
              <w:top w:val="single" w:sz="8" w:space="0" w:color="auto"/>
              <w:right w:val="single" w:sz="12" w:space="0" w:color="auto"/>
            </w:tcBorders>
          </w:tcPr>
          <w:p w14:paraId="1AC8F208" w14:textId="2F42773A" w:rsidR="007E0FEB" w:rsidRPr="00423439" w:rsidRDefault="007E0FEB" w:rsidP="00C542B4">
            <w:pPr>
              <w:spacing w:before="120" w:after="120"/>
              <w:jc w:val="center"/>
              <w:rPr>
                <w:lang w:val="ro-MD"/>
              </w:rPr>
            </w:pPr>
            <w:r w:rsidRPr="00423439">
              <w:rPr>
                <w:b/>
                <w:bCs/>
                <w:lang w:val="ro-MD"/>
              </w:rPr>
              <w:lastRenderedPageBreak/>
              <w:t xml:space="preserve">Motivul alegerii: </w:t>
            </w:r>
            <w:r w:rsidRPr="00423439">
              <w:rPr>
                <w:lang w:val="ro-MD"/>
              </w:rPr>
              <w:t xml:space="preserve">Această cauză stabilește legătura cauzală dintre catastrofe ecologice și interferența în viața privată a victimelor. În special, îmi place cum judecătorii explică esența principiilor vitale în protecția mediului (evaluarea impactului – principiul precauției și prevenirea, accesul publicului la informație – referire a Convenției de la Aarhus). De asemenea, nu pot reda în cuvinte cât de mult îmi plac ultimele paragrafe unde Curtea a descris atât de empatic suferința oamenilor din localitate, anticipând toate laturile care le-ar provoca daune (angoasă). Evident, însăși existența perechii </w:t>
            </w:r>
            <w:r w:rsidRPr="00423439">
              <w:rPr>
                <w:i/>
                <w:iCs/>
                <w:lang w:val="ro-MD"/>
              </w:rPr>
              <w:t>obligație pozitivă/negativă</w:t>
            </w:r>
            <w:r w:rsidRPr="00423439">
              <w:rPr>
                <w:lang w:val="ro-MD"/>
              </w:rPr>
              <w:t xml:space="preserve"> este foarte satisfăcătoare în modul în care explică și deduce perfect și cu prezicere, natura obligațiilor autorităților.</w:t>
            </w:r>
          </w:p>
        </w:tc>
      </w:tr>
      <w:tr w:rsidR="00496E65" w:rsidRPr="00423439" w14:paraId="1A4C84FC" w14:textId="77777777" w:rsidTr="00C542B4">
        <w:trPr>
          <w:trHeight w:val="2402"/>
        </w:trPr>
        <w:tc>
          <w:tcPr>
            <w:tcW w:w="557" w:type="dxa"/>
            <w:tcBorders>
              <w:top w:val="single" w:sz="8" w:space="0" w:color="auto"/>
              <w:left w:val="single" w:sz="12" w:space="0" w:color="auto"/>
              <w:bottom w:val="single" w:sz="8" w:space="0" w:color="auto"/>
            </w:tcBorders>
          </w:tcPr>
          <w:p w14:paraId="1FE8FE90" w14:textId="64B86DA5" w:rsidR="00496E65" w:rsidRPr="00423439" w:rsidRDefault="00496E65" w:rsidP="00C542B4">
            <w:pPr>
              <w:spacing w:before="120" w:after="120"/>
              <w:jc w:val="center"/>
              <w:rPr>
                <w:b/>
                <w:bCs/>
                <w:lang w:val="ro-MD"/>
              </w:rPr>
            </w:pPr>
            <w:r w:rsidRPr="00423439">
              <w:rPr>
                <w:b/>
                <w:bCs/>
                <w:lang w:val="ro-MD"/>
              </w:rPr>
              <w:t>17)</w:t>
            </w:r>
          </w:p>
        </w:tc>
        <w:tc>
          <w:tcPr>
            <w:tcW w:w="1413" w:type="dxa"/>
            <w:tcBorders>
              <w:top w:val="single" w:sz="8" w:space="0" w:color="auto"/>
              <w:bottom w:val="single" w:sz="8" w:space="0" w:color="auto"/>
            </w:tcBorders>
          </w:tcPr>
          <w:p w14:paraId="05AE68D3" w14:textId="6BE4E73F" w:rsidR="00496E65" w:rsidRPr="00423439" w:rsidRDefault="00496E65" w:rsidP="00C542B4">
            <w:pPr>
              <w:spacing w:before="120" w:after="120"/>
              <w:jc w:val="center"/>
              <w:rPr>
                <w:b/>
                <w:bCs/>
                <w:lang w:val="ro-MD"/>
              </w:rPr>
            </w:pPr>
            <w:r w:rsidRPr="00423439">
              <w:rPr>
                <w:b/>
                <w:bCs/>
                <w:lang w:val="ro-MD"/>
              </w:rPr>
              <w:t>K</w:t>
            </w:r>
            <w:r w:rsidR="00607149" w:rsidRPr="00423439">
              <w:rPr>
                <w:b/>
                <w:bCs/>
                <w:lang w:val="ro-MD"/>
              </w:rPr>
              <w:t>osmatska</w:t>
            </w:r>
            <w:r w:rsidRPr="00423439">
              <w:rPr>
                <w:b/>
                <w:bCs/>
                <w:lang w:val="ro-MD"/>
              </w:rPr>
              <w:t xml:space="preserve"> v. U</w:t>
            </w:r>
            <w:r w:rsidR="00607149" w:rsidRPr="00423439">
              <w:rPr>
                <w:b/>
                <w:bCs/>
                <w:lang w:val="ro-MD"/>
              </w:rPr>
              <w:t>craina</w:t>
            </w:r>
          </w:p>
          <w:p w14:paraId="45F1C366" w14:textId="77777777" w:rsidR="00496E65" w:rsidRDefault="00496E65" w:rsidP="00C542B4">
            <w:pPr>
              <w:spacing w:before="120" w:after="120"/>
              <w:jc w:val="center"/>
              <w:rPr>
                <w:i/>
                <w:iCs/>
                <w:lang w:val="ro-MD"/>
              </w:rPr>
            </w:pPr>
            <w:r w:rsidRPr="00423439">
              <w:rPr>
                <w:b/>
                <w:bCs/>
                <w:lang w:val="ro-MD"/>
              </w:rPr>
              <w:t>(</w:t>
            </w:r>
            <w:r w:rsidRPr="00423439">
              <w:rPr>
                <w:i/>
                <w:iCs/>
                <w:lang w:val="ro-MD"/>
              </w:rPr>
              <w:t xml:space="preserve">Cererea nr. </w:t>
            </w:r>
            <w:hyperlink r:id="rId24" w:history="1">
              <w:r w:rsidRPr="00423439">
                <w:rPr>
                  <w:rStyle w:val="af4"/>
                  <w:i/>
                  <w:iCs/>
                  <w:lang w:val="ro-MD"/>
                </w:rPr>
                <w:t>9953/16</w:t>
              </w:r>
              <w:r w:rsidRPr="00423439">
                <w:rPr>
                  <w:rStyle w:val="af4"/>
                  <w:b/>
                  <w:bCs/>
                  <w:lang w:val="ro-MD"/>
                </w:rPr>
                <w:t>)</w:t>
              </w:r>
            </w:hyperlink>
          </w:p>
          <w:p w14:paraId="487A997A" w14:textId="41024DC5" w:rsidR="00607149" w:rsidRPr="00423439" w:rsidRDefault="00607149" w:rsidP="00C542B4">
            <w:pPr>
              <w:spacing w:before="120" w:after="120"/>
              <w:jc w:val="center"/>
              <w:rPr>
                <w:b/>
                <w:bCs/>
                <w:lang w:val="ro-MD"/>
              </w:rPr>
            </w:pPr>
            <w:r w:rsidRPr="00607149">
              <w:rPr>
                <w:b/>
                <w:bCs/>
              </w:rPr>
              <w:t>12 Febr</w:t>
            </w:r>
            <w:r>
              <w:rPr>
                <w:b/>
                <w:bCs/>
              </w:rPr>
              <w:t>uarie</w:t>
            </w:r>
            <w:r w:rsidRPr="00607149">
              <w:rPr>
                <w:b/>
                <w:bCs/>
              </w:rPr>
              <w:t xml:space="preserve"> 2016</w:t>
            </w:r>
          </w:p>
        </w:tc>
        <w:tc>
          <w:tcPr>
            <w:tcW w:w="992" w:type="dxa"/>
            <w:tcBorders>
              <w:top w:val="single" w:sz="8" w:space="0" w:color="auto"/>
              <w:bottom w:val="single" w:sz="8" w:space="0" w:color="auto"/>
            </w:tcBorders>
          </w:tcPr>
          <w:p w14:paraId="225EBBE2" w14:textId="796351C6" w:rsidR="00496E65" w:rsidRPr="00423439" w:rsidRDefault="00496E65" w:rsidP="00C542B4">
            <w:pPr>
              <w:spacing w:before="120" w:after="120"/>
              <w:jc w:val="center"/>
              <w:rPr>
                <w:lang w:val="ro-MD"/>
              </w:rPr>
            </w:pPr>
            <w:r w:rsidRPr="00423439">
              <w:rPr>
                <w:lang w:val="ro-MD"/>
              </w:rPr>
              <w:t>C</w:t>
            </w:r>
          </w:p>
        </w:tc>
        <w:tc>
          <w:tcPr>
            <w:tcW w:w="992" w:type="dxa"/>
            <w:tcBorders>
              <w:top w:val="single" w:sz="8" w:space="0" w:color="auto"/>
              <w:bottom w:val="single" w:sz="8" w:space="0" w:color="auto"/>
            </w:tcBorders>
          </w:tcPr>
          <w:p w14:paraId="275A896C" w14:textId="0CA0A5E0" w:rsidR="00496E65" w:rsidRPr="00423439" w:rsidRDefault="00496E65" w:rsidP="00C542B4">
            <w:pPr>
              <w:spacing w:before="120" w:after="120"/>
              <w:jc w:val="center"/>
              <w:rPr>
                <w:lang w:val="ro-MD"/>
              </w:rPr>
            </w:pPr>
            <w:r w:rsidRPr="00423439">
              <w:rPr>
                <w:lang w:val="ro-MD"/>
              </w:rPr>
              <w:t>Art. 1 Prot. nr. 1</w:t>
            </w:r>
          </w:p>
        </w:tc>
        <w:tc>
          <w:tcPr>
            <w:tcW w:w="709" w:type="dxa"/>
            <w:tcBorders>
              <w:top w:val="single" w:sz="8" w:space="0" w:color="auto"/>
              <w:bottom w:val="single" w:sz="8" w:space="0" w:color="auto"/>
            </w:tcBorders>
          </w:tcPr>
          <w:p w14:paraId="5756B02D" w14:textId="0A08272B" w:rsidR="00496E65" w:rsidRPr="00423439" w:rsidRDefault="00496E65" w:rsidP="00C542B4">
            <w:pPr>
              <w:spacing w:before="120" w:after="120"/>
              <w:jc w:val="center"/>
              <w:rPr>
                <w:lang w:val="ro-MD"/>
              </w:rPr>
            </w:pPr>
            <w:r w:rsidRPr="00423439">
              <w:rPr>
                <w:lang w:val="ro-MD"/>
              </w:rPr>
              <w:t>-</w:t>
            </w:r>
          </w:p>
        </w:tc>
        <w:tc>
          <w:tcPr>
            <w:tcW w:w="1276" w:type="dxa"/>
            <w:tcBorders>
              <w:top w:val="single" w:sz="8" w:space="0" w:color="auto"/>
              <w:bottom w:val="single" w:sz="8" w:space="0" w:color="auto"/>
            </w:tcBorders>
          </w:tcPr>
          <w:p w14:paraId="33B1942D" w14:textId="45FAAE60" w:rsidR="00496E65" w:rsidRPr="00423439" w:rsidRDefault="004F3462" w:rsidP="00C542B4">
            <w:pPr>
              <w:spacing w:before="120" w:after="120"/>
              <w:jc w:val="center"/>
              <w:rPr>
                <w:lang w:val="ro-MD"/>
              </w:rPr>
            </w:pPr>
            <w:r w:rsidRPr="00423439">
              <w:rPr>
                <w:lang w:val="ro-MD"/>
              </w:rPr>
              <w:t xml:space="preserve">Dreptul de a se bucura de bunuri, teren cumpărat de la, fără despăgubiri, legalitatea și scopul legitim al </w:t>
            </w:r>
            <w:r w:rsidRPr="00423439">
              <w:rPr>
                <w:lang w:val="ro-MD"/>
              </w:rPr>
              <w:lastRenderedPageBreak/>
              <w:t>ingerinței, Regiunea Kiev, procuror</w:t>
            </w:r>
          </w:p>
        </w:tc>
        <w:tc>
          <w:tcPr>
            <w:tcW w:w="6095" w:type="dxa"/>
            <w:tcBorders>
              <w:top w:val="single" w:sz="8" w:space="0" w:color="auto"/>
              <w:bottom w:val="single" w:sz="8" w:space="0" w:color="auto"/>
            </w:tcBorders>
          </w:tcPr>
          <w:p w14:paraId="57DDDCDD" w14:textId="77777777" w:rsidR="00496E65" w:rsidRPr="00423439" w:rsidRDefault="004F3462" w:rsidP="00C542B4">
            <w:pPr>
              <w:spacing w:before="120" w:after="120"/>
              <w:jc w:val="center"/>
              <w:rPr>
                <w:lang w:val="ro-MD"/>
              </w:rPr>
            </w:pPr>
            <w:r w:rsidRPr="00423439">
              <w:rPr>
                <w:lang w:val="ro-MD"/>
              </w:rPr>
              <w:lastRenderedPageBreak/>
              <w:t>35. Curtea consideră că, în prezenta cauză, a existat o ingerință în bunurile reclamantei, având în vedere că titlul său de proprietate a fost invalidat printr-o hotărâre judecătorească definitivă. Faptul că, aparent, aceasta a rămas proprietar înregistrat al terenului în cauză nu afectează concluzia de mai sus, deoarece o astfel de înregistrare, fără un temei juridic adecvat, nu poate fi considerată ca acordând vreun drept de proprietate. Indiferent dacă această ingerință este considerată privare sau control asupra utilizării proprietății, principiile aplicabile rămân aceleași.</w:t>
            </w:r>
          </w:p>
          <w:p w14:paraId="3E887F02" w14:textId="77777777" w:rsidR="004F3462" w:rsidRPr="00423439" w:rsidRDefault="004F3462" w:rsidP="00C542B4">
            <w:pPr>
              <w:spacing w:before="120" w:after="120"/>
              <w:jc w:val="center"/>
              <w:rPr>
                <w:lang w:val="ro-MD"/>
              </w:rPr>
            </w:pPr>
            <w:r w:rsidRPr="00423439">
              <w:rPr>
                <w:lang w:val="ro-MD"/>
              </w:rPr>
              <w:t xml:space="preserve">41. Curtea este conștientă că nu este sarcina sa să se substituie instanțelor naționale în interpretarea legislației </w:t>
            </w:r>
            <w:r w:rsidRPr="00423439">
              <w:rPr>
                <w:lang w:val="ro-MD"/>
              </w:rPr>
              <w:lastRenderedPageBreak/>
              <w:t>interne, dar consideră că abordarea adoptată de instanțe în prezenta cauză în ceea ce privește aplicarea termenului de prescripție ridică îndoieli cu privire la caracterul rezonabil și compatibilitatea acestuia cu principiul securității juridice.</w:t>
            </w:r>
          </w:p>
          <w:p w14:paraId="014DCBA4" w14:textId="77777777" w:rsidR="004F3462" w:rsidRPr="00423439" w:rsidRDefault="004F3462" w:rsidP="00C542B4">
            <w:pPr>
              <w:spacing w:before="120" w:after="120"/>
              <w:jc w:val="center"/>
              <w:rPr>
                <w:lang w:val="ro-MD"/>
              </w:rPr>
            </w:pPr>
            <w:bookmarkStart w:id="6" w:name="merits_48"/>
            <w:r w:rsidRPr="00423439">
              <w:rPr>
                <w:lang w:val="ro-MD"/>
              </w:rPr>
              <w:t>48.</w:t>
            </w:r>
            <w:bookmarkEnd w:id="6"/>
            <w:r w:rsidRPr="00423439">
              <w:rPr>
                <w:lang w:val="ro-MD"/>
              </w:rPr>
              <w:t> Având în vedere cele de mai sus, Curtea nu consideră justificat, în ce</w:t>
            </w:r>
            <w:r w:rsidRPr="00607149">
              <w:rPr>
                <w:b/>
                <w:bCs/>
                <w:lang w:val="ro-MD"/>
              </w:rPr>
              <w:t>ea ce privește proporționalitatea necesară a ingerinței și necesitatea de a menține un echilibru just între interesele în joc, să se solicite reclamantului să acționeze în justiție împotriva proprietarilor inițiali ai terenului în cauză pentru a obține despăgubiri.</w:t>
            </w:r>
            <w:r w:rsidRPr="00423439">
              <w:rPr>
                <w:lang w:val="ro-MD"/>
              </w:rPr>
              <w:t xml:space="preserve"> </w:t>
            </w:r>
            <w:r w:rsidRPr="00607149">
              <w:rPr>
                <w:b/>
                <w:bCs/>
                <w:lang w:val="ro-MD"/>
              </w:rPr>
              <w:t>Rezultă că ingerința în drepturile de proprietate ale reclamantului nu poate fi considerată o măsură proporțională. </w:t>
            </w:r>
          </w:p>
          <w:p w14:paraId="3E8E566B" w14:textId="106E5F01" w:rsidR="004F3462" w:rsidRPr="00423439" w:rsidRDefault="004F3462" w:rsidP="00C542B4">
            <w:pPr>
              <w:spacing w:before="120" w:after="120"/>
              <w:jc w:val="center"/>
              <w:rPr>
                <w:lang w:val="ro-MD"/>
              </w:rPr>
            </w:pPr>
            <w:r w:rsidRPr="00423439">
              <w:rPr>
                <w:lang w:val="ro-MD"/>
              </w:rPr>
              <w:t>59. Având în vedere constatările sale în prezenta cauză, Curtea consideră că reclamanta ar trebui plasată, pe cât posibil, î</w:t>
            </w:r>
            <w:r w:rsidRPr="00607149">
              <w:rPr>
                <w:b/>
                <w:bCs/>
                <w:lang w:val="ro-MD"/>
              </w:rPr>
              <w:t>ntr-o situație echivalentă cu cea în care s-ar fi aflat dacă nu ar fi existat o încălcare a articolului 1 din Protocolul nr. 1 la Convenție, prin restituirea integrală a titlului de proprietate asupra terenului recuperat (prin redeschiderea procedurii interne, dacă este cazul, sau prin alte mijloace)</w:t>
            </w:r>
            <w:r w:rsidRPr="00423439">
              <w:rPr>
                <w:lang w:val="ro-MD"/>
              </w:rPr>
              <w:t xml:space="preserve">. În caz contrar, statul pârât trebuie să ofere o compensație bănească (calculată în conformitate cu cerințele interne privind evaluarea proprietăților și cu </w:t>
            </w:r>
            <w:r w:rsidRPr="00423439">
              <w:rPr>
                <w:lang w:val="ro-MD"/>
              </w:rPr>
              <w:lastRenderedPageBreak/>
              <w:t>practica Curții) sau un titlu de proprietate asupra unui bun comparabil.</w:t>
            </w:r>
          </w:p>
        </w:tc>
        <w:tc>
          <w:tcPr>
            <w:tcW w:w="4111" w:type="dxa"/>
            <w:tcBorders>
              <w:top w:val="single" w:sz="8" w:space="0" w:color="auto"/>
              <w:bottom w:val="single" w:sz="8" w:space="0" w:color="auto"/>
              <w:right w:val="single" w:sz="12" w:space="0" w:color="auto"/>
            </w:tcBorders>
          </w:tcPr>
          <w:p w14:paraId="5ED0E62C" w14:textId="4B92EDD4" w:rsidR="004F3462" w:rsidRPr="004F3462" w:rsidRDefault="004F3462" w:rsidP="00C542B4">
            <w:pPr>
              <w:spacing w:before="120" w:after="120"/>
              <w:rPr>
                <w:lang w:val="ro-MD"/>
              </w:rPr>
            </w:pPr>
            <w:r w:rsidRPr="00423439">
              <w:rPr>
                <w:lang w:val="ro-MD"/>
              </w:rPr>
              <w:lastRenderedPageBreak/>
              <w:t xml:space="preserve">A </w:t>
            </w:r>
            <w:r w:rsidRPr="004F3462">
              <w:rPr>
                <w:lang w:val="ro-MD"/>
              </w:rPr>
              <w:t>avut loc o încălcare a articolului 1 din Protocolul nr. 1 la Convenție;</w:t>
            </w:r>
            <w:r w:rsidRPr="00423439">
              <w:rPr>
                <w:lang w:val="ro-MD"/>
              </w:rPr>
              <w:t xml:space="preserve"> + </w:t>
            </w:r>
            <w:r w:rsidRPr="004F3462">
              <w:rPr>
                <w:lang w:val="ro-MD"/>
              </w:rPr>
              <w:t xml:space="preserve">statul pârât trebuie să asigure, prin mijloace adecvate și într-un termen rezonabil, </w:t>
            </w:r>
            <w:r w:rsidRPr="004F3462">
              <w:rPr>
                <w:b/>
                <w:bCs/>
                <w:lang w:val="ro-MD"/>
              </w:rPr>
              <w:t>restituirea integrală a titlului de proprietate al reclamantului asupra terenului recuperat</w:t>
            </w:r>
            <w:r w:rsidRPr="004F3462">
              <w:rPr>
                <w:lang w:val="ro-MD"/>
              </w:rPr>
              <w:t xml:space="preserve"> sau acordarea unei compensații bănești sau a unor bunuri comparabile reclamantului.</w:t>
            </w:r>
          </w:p>
          <w:p w14:paraId="75961911" w14:textId="77777777" w:rsidR="00496E65" w:rsidRPr="00423439" w:rsidRDefault="00496E65" w:rsidP="00C542B4">
            <w:pPr>
              <w:spacing w:before="120" w:after="120"/>
              <w:jc w:val="center"/>
              <w:rPr>
                <w:lang w:val="ro-MD"/>
              </w:rPr>
            </w:pPr>
          </w:p>
        </w:tc>
      </w:tr>
      <w:tr w:rsidR="004F3462" w:rsidRPr="00423439" w14:paraId="4C5A5B70" w14:textId="77777777" w:rsidTr="00C542B4">
        <w:trPr>
          <w:trHeight w:val="980"/>
        </w:trPr>
        <w:tc>
          <w:tcPr>
            <w:tcW w:w="557" w:type="dxa"/>
            <w:tcBorders>
              <w:top w:val="single" w:sz="8" w:space="0" w:color="auto"/>
              <w:left w:val="single" w:sz="12" w:space="0" w:color="auto"/>
              <w:bottom w:val="single" w:sz="8" w:space="0" w:color="auto"/>
            </w:tcBorders>
          </w:tcPr>
          <w:p w14:paraId="4381806D" w14:textId="035967F0" w:rsidR="004F3462" w:rsidRPr="00423439" w:rsidRDefault="004F3462" w:rsidP="00C542B4">
            <w:pPr>
              <w:spacing w:before="120" w:after="120"/>
              <w:jc w:val="center"/>
              <w:rPr>
                <w:b/>
                <w:bCs/>
                <w:lang w:val="ro-MD"/>
              </w:rPr>
            </w:pPr>
            <w:r w:rsidRPr="00423439">
              <w:rPr>
                <w:b/>
                <w:bCs/>
                <w:lang w:val="ro-MD"/>
              </w:rPr>
              <w:lastRenderedPageBreak/>
              <w:t>18)</w:t>
            </w:r>
          </w:p>
        </w:tc>
        <w:tc>
          <w:tcPr>
            <w:tcW w:w="1413" w:type="dxa"/>
            <w:tcBorders>
              <w:top w:val="single" w:sz="8" w:space="0" w:color="auto"/>
              <w:bottom w:val="single" w:sz="8" w:space="0" w:color="auto"/>
            </w:tcBorders>
          </w:tcPr>
          <w:p w14:paraId="0B280B16" w14:textId="10AFAE06" w:rsidR="004F3462" w:rsidRPr="004F3462" w:rsidRDefault="004F3462" w:rsidP="00C542B4">
            <w:pPr>
              <w:spacing w:before="120" w:after="120"/>
              <w:jc w:val="center"/>
              <w:rPr>
                <w:b/>
                <w:bCs/>
                <w:lang w:val="ro-MD"/>
              </w:rPr>
            </w:pPr>
            <w:r w:rsidRPr="00423439">
              <w:rPr>
                <w:b/>
                <w:bCs/>
                <w:lang w:val="ro-MD"/>
              </w:rPr>
              <w:t>Jaklová și alții c. Republicii Cehe</w:t>
            </w:r>
          </w:p>
          <w:p w14:paraId="1A3E0956" w14:textId="06CD3D41" w:rsidR="004F3462" w:rsidRPr="004F3462" w:rsidRDefault="004F3462" w:rsidP="00C542B4">
            <w:pPr>
              <w:spacing w:before="120" w:after="120"/>
              <w:jc w:val="center"/>
              <w:rPr>
                <w:i/>
                <w:iCs/>
                <w:lang w:val="ro-MD"/>
              </w:rPr>
            </w:pPr>
            <w:r w:rsidRPr="004F3462">
              <w:rPr>
                <w:i/>
                <w:iCs/>
                <w:lang w:val="ro-MD"/>
              </w:rPr>
              <w:t>(Cererea nr. </w:t>
            </w:r>
            <w:hyperlink r:id="rId25" w:tgtFrame="_blank" w:history="1">
              <w:r w:rsidRPr="004F3462">
                <w:rPr>
                  <w:rStyle w:val="af4"/>
                  <w:i/>
                  <w:iCs/>
                  <w:lang w:val="ro-MD"/>
                </w:rPr>
                <w:t>38342/23</w:t>
              </w:r>
            </w:hyperlink>
            <w:r w:rsidRPr="004F3462">
              <w:rPr>
                <w:i/>
                <w:iCs/>
                <w:lang w:val="ro-MD"/>
              </w:rPr>
              <w:t>)</w:t>
            </w:r>
          </w:p>
          <w:p w14:paraId="58F8E083" w14:textId="0C7F98D6" w:rsidR="004F3462" w:rsidRPr="004F3462" w:rsidRDefault="004F3462" w:rsidP="00C542B4">
            <w:pPr>
              <w:spacing w:before="120" w:after="120"/>
              <w:jc w:val="center"/>
              <w:rPr>
                <w:b/>
                <w:bCs/>
                <w:lang w:val="ro-MD"/>
              </w:rPr>
            </w:pPr>
            <w:r w:rsidRPr="004F3462">
              <w:rPr>
                <w:b/>
                <w:bCs/>
                <w:lang w:val="ro-MD"/>
              </w:rPr>
              <w:t> </w:t>
            </w:r>
            <w:r w:rsidRPr="00423439">
              <w:rPr>
                <w:b/>
                <w:bCs/>
                <w:lang w:val="ro-MD"/>
              </w:rPr>
              <w:t>4 decembrie 2025</w:t>
            </w:r>
          </w:p>
          <w:p w14:paraId="5A28ABB0" w14:textId="77777777" w:rsidR="004F3462" w:rsidRPr="00423439" w:rsidRDefault="004F3462" w:rsidP="00C542B4">
            <w:pPr>
              <w:spacing w:before="120" w:after="120"/>
              <w:jc w:val="center"/>
              <w:rPr>
                <w:b/>
                <w:bCs/>
                <w:lang w:val="ro-MD"/>
              </w:rPr>
            </w:pPr>
          </w:p>
        </w:tc>
        <w:tc>
          <w:tcPr>
            <w:tcW w:w="992" w:type="dxa"/>
            <w:tcBorders>
              <w:top w:val="single" w:sz="8" w:space="0" w:color="auto"/>
            </w:tcBorders>
          </w:tcPr>
          <w:p w14:paraId="654F73D3" w14:textId="11A25BB2" w:rsidR="004F3462" w:rsidRPr="00423439" w:rsidRDefault="004F3462" w:rsidP="00C542B4">
            <w:pPr>
              <w:spacing w:before="120" w:after="120"/>
              <w:jc w:val="center"/>
              <w:rPr>
                <w:lang w:val="ro-MD"/>
              </w:rPr>
            </w:pPr>
            <w:r w:rsidRPr="00423439">
              <w:rPr>
                <w:lang w:val="ro-MD"/>
              </w:rPr>
              <w:t>C</w:t>
            </w:r>
          </w:p>
        </w:tc>
        <w:tc>
          <w:tcPr>
            <w:tcW w:w="992" w:type="dxa"/>
            <w:tcBorders>
              <w:top w:val="single" w:sz="8" w:space="0" w:color="auto"/>
              <w:bottom w:val="single" w:sz="8" w:space="0" w:color="auto"/>
            </w:tcBorders>
          </w:tcPr>
          <w:p w14:paraId="1F5480F7" w14:textId="77777777" w:rsidR="004F3462" w:rsidRPr="004F3462" w:rsidRDefault="004F3462" w:rsidP="00C542B4">
            <w:pPr>
              <w:spacing w:before="120" w:after="120"/>
              <w:jc w:val="center"/>
              <w:rPr>
                <w:lang w:val="ro-MD"/>
              </w:rPr>
            </w:pPr>
            <w:r w:rsidRPr="004F3462">
              <w:rPr>
                <w:lang w:val="ro-MD"/>
              </w:rPr>
              <w:t>2</w:t>
            </w:r>
          </w:p>
          <w:p w14:paraId="07E45063" w14:textId="5C27EB23" w:rsidR="004F3462" w:rsidRPr="004F3462" w:rsidRDefault="004F3462" w:rsidP="00C542B4">
            <w:pPr>
              <w:spacing w:before="120" w:after="120"/>
              <w:jc w:val="center"/>
              <w:rPr>
                <w:lang w:val="ro-MD"/>
              </w:rPr>
            </w:pPr>
            <w:r w:rsidRPr="004F3462">
              <w:rPr>
                <w:lang w:val="ro-MD"/>
              </w:rPr>
              <w:t>2</w:t>
            </w:r>
            <w:r w:rsidRPr="00423439">
              <w:rPr>
                <w:lang w:val="ro-MD"/>
              </w:rPr>
              <w:t xml:space="preserve"> § </w:t>
            </w:r>
            <w:r w:rsidRPr="004F3462">
              <w:rPr>
                <w:lang w:val="ro-MD"/>
              </w:rPr>
              <w:t>1</w:t>
            </w:r>
          </w:p>
          <w:p w14:paraId="341B4D47" w14:textId="77777777" w:rsidR="004F3462" w:rsidRPr="00423439" w:rsidRDefault="004F3462" w:rsidP="00C542B4">
            <w:pPr>
              <w:spacing w:before="120" w:after="120"/>
              <w:jc w:val="center"/>
              <w:rPr>
                <w:lang w:val="ro-MD"/>
              </w:rPr>
            </w:pPr>
          </w:p>
        </w:tc>
        <w:tc>
          <w:tcPr>
            <w:tcW w:w="709" w:type="dxa"/>
            <w:tcBorders>
              <w:top w:val="single" w:sz="8" w:space="0" w:color="auto"/>
              <w:bottom w:val="single" w:sz="8" w:space="0" w:color="auto"/>
            </w:tcBorders>
          </w:tcPr>
          <w:p w14:paraId="16707EA7" w14:textId="66E4373C" w:rsidR="004F3462" w:rsidRPr="00423439" w:rsidRDefault="004F3462" w:rsidP="00C542B4">
            <w:pPr>
              <w:spacing w:before="120" w:after="120"/>
              <w:jc w:val="center"/>
              <w:rPr>
                <w:lang w:val="ro-MD"/>
              </w:rPr>
            </w:pPr>
            <w:r w:rsidRPr="00423439">
              <w:rPr>
                <w:lang w:val="ro-MD"/>
              </w:rPr>
              <w:t>-</w:t>
            </w:r>
          </w:p>
        </w:tc>
        <w:tc>
          <w:tcPr>
            <w:tcW w:w="1276" w:type="dxa"/>
            <w:tcBorders>
              <w:top w:val="single" w:sz="8" w:space="0" w:color="auto"/>
              <w:bottom w:val="single" w:sz="8" w:space="0" w:color="auto"/>
            </w:tcBorders>
          </w:tcPr>
          <w:p w14:paraId="74B788AF" w14:textId="438F21B4" w:rsidR="004F3462" w:rsidRPr="00423439" w:rsidRDefault="004F3462" w:rsidP="00C542B4">
            <w:pPr>
              <w:spacing w:before="120" w:after="120"/>
              <w:jc w:val="center"/>
              <w:rPr>
                <w:lang w:val="ro-MD"/>
              </w:rPr>
            </w:pPr>
            <w:r w:rsidRPr="00423439">
              <w:rPr>
                <w:lang w:val="ro-MD"/>
              </w:rPr>
              <w:t>Obligații positive, deces, hipotermie, pacient voluntary, nestabilirea unei infracțiuni</w:t>
            </w:r>
          </w:p>
        </w:tc>
        <w:tc>
          <w:tcPr>
            <w:tcW w:w="6095" w:type="dxa"/>
            <w:tcBorders>
              <w:top w:val="single" w:sz="8" w:space="0" w:color="auto"/>
              <w:bottom w:val="single" w:sz="8" w:space="0" w:color="auto"/>
            </w:tcBorders>
          </w:tcPr>
          <w:p w14:paraId="50D29B20" w14:textId="77777777" w:rsidR="004F3462" w:rsidRPr="00423439" w:rsidRDefault="004F3462" w:rsidP="00C542B4">
            <w:pPr>
              <w:spacing w:before="120" w:after="120"/>
              <w:jc w:val="center"/>
              <w:rPr>
                <w:lang w:val="ro-MD"/>
              </w:rPr>
            </w:pPr>
            <w:r w:rsidRPr="00423439">
              <w:rPr>
                <w:lang w:val="ro-MD"/>
              </w:rPr>
              <w:t>47. Curtea reiterează că a interpretat obligația procedurală a articolului 2 în contextul asistenței medicale ca impunând statelor să instituie un sistem judiciar eficient și independent, astfel încât să se poată determina cauza decesului sau a vătămărilor corporale grave ale pacienților aflați în îngrijirea profesiei medicale, fie în sectorul public, fie în cel privat, iar cei responsabili să poată fi trași la răspundere. Deși, în unele situații excepționale, în care vina atribuibilă furnizorilor de servicii medicale a depășit o simplă eroare sau neglijență medicală, Curtea a considerat că respectarea obligației procedurale trebuie să includă recurgerea la dreptul penal, în toate celelalte cazuri în care încălcarea dreptului la viață sau la integritate personală nu este cauzată intenționat, obligația procedurală impusă de articolul 2 nu necesită neapărat prevederea unei căi de atac de drept penal.</w:t>
            </w:r>
            <w:r w:rsidRPr="00607149">
              <w:rPr>
                <w:b/>
                <w:bCs/>
                <w:lang w:val="ro-MD"/>
              </w:rPr>
              <w:t xml:space="preserve"> Astfel, în cazurile privind neglijența medicală în care decesul este cauzat involuntar, obligațiile procedurale ale statelor pot intra în joc la inițierea acțiunilor de către rudele defunctului. </w:t>
            </w:r>
          </w:p>
          <w:p w14:paraId="561AA4A0" w14:textId="77777777" w:rsidR="004F3462" w:rsidRPr="00423439" w:rsidRDefault="004F3462" w:rsidP="00C542B4">
            <w:pPr>
              <w:spacing w:before="120" w:after="120"/>
              <w:jc w:val="center"/>
              <w:rPr>
                <w:lang w:val="ro-MD"/>
              </w:rPr>
            </w:pPr>
            <w:r w:rsidRPr="00423439">
              <w:rPr>
                <w:lang w:val="ro-MD"/>
              </w:rPr>
              <w:lastRenderedPageBreak/>
              <w:t>50. În acest context, este implicită cerința de independență a sistemului intern instituit pentru a determina cauza decesului pacienților aflați în grija profesiei medicale. Aceasta necesită nu numai lipsa unei legături ierarhice sau instituționale, ci și ca toate părțile însărcinate cu efectuarea unei evaluări în cadrul procedurilor pentru determinarea cauzei decesului pacienților să se bucure de independență formală și </w:t>
            </w:r>
            <w:r w:rsidRPr="00423439">
              <w:rPr>
                <w:i/>
                <w:iCs/>
                <w:lang w:val="ro-MD"/>
              </w:rPr>
              <w:t>de facto </w:t>
            </w:r>
            <w:r w:rsidRPr="00423439">
              <w:rPr>
                <w:lang w:val="ro-MD"/>
              </w:rPr>
              <w:t>față de cei implicați în evenimente. Această cerință este deosebit de importantă atunci când se obțin rapoarte medicale de la martori experți, deoarece este foarte probabil ca astfel de rapoarte să aibă o greutate crucială în evaluarea de către o instanță a aspectelor extrem de complexe ale neglijenței medicale, ceea ce le conferă un rol deosebit de important în cadrul procedurilor.</w:t>
            </w:r>
          </w:p>
          <w:p w14:paraId="09665250" w14:textId="77777777" w:rsidR="004F3462" w:rsidRPr="00423439" w:rsidRDefault="004F3462" w:rsidP="00C542B4">
            <w:pPr>
              <w:spacing w:before="120" w:after="120"/>
              <w:jc w:val="center"/>
              <w:rPr>
                <w:lang w:val="ro-MD"/>
              </w:rPr>
            </w:pPr>
            <w:r w:rsidRPr="00423439">
              <w:rPr>
                <w:lang w:val="ro-MD"/>
              </w:rPr>
              <w:t>51. De asemenea, obligația procedurală prevăzută la articolul 2 în contextul asistenței medicale impune, </w:t>
            </w:r>
            <w:r w:rsidRPr="00423439">
              <w:rPr>
                <w:i/>
                <w:iCs/>
                <w:lang w:val="ro-MD"/>
              </w:rPr>
              <w:t>printre altele </w:t>
            </w:r>
            <w:r w:rsidRPr="00423439">
              <w:rPr>
                <w:lang w:val="ro-MD"/>
              </w:rPr>
              <w:t>, ca procedurile să fie finalizate într-un termen rezonabil. În acest sens, Curtea subliniază că, pe lângă preocuparea pentru respectarea drepturilor inerente articolului 2 din Convenție în fiecare caz în parte, c</w:t>
            </w:r>
            <w:r w:rsidRPr="00607149">
              <w:rPr>
                <w:b/>
                <w:bCs/>
                <w:lang w:val="ro-MD"/>
              </w:rPr>
              <w:t>onsiderații mai generale impun, de asemenea, o examinare promptă a cazurilor de neglijență medicală într-un mediu spitalicesc</w:t>
            </w:r>
            <w:r w:rsidRPr="00423439">
              <w:rPr>
                <w:lang w:val="ro-MD"/>
              </w:rPr>
              <w:t xml:space="preserve">. Cunoașterea faptelor și a posibilelor erori comise în cursul îngrijirilor medicale este esențială pentru a permite instituțiilor și personalului medical în cauză să remedieze potențialele deficiențe și să </w:t>
            </w:r>
            <w:r w:rsidRPr="00423439">
              <w:rPr>
                <w:lang w:val="ro-MD"/>
              </w:rPr>
              <w:lastRenderedPageBreak/>
              <w:t xml:space="preserve">prevină erori similare. </w:t>
            </w:r>
            <w:r w:rsidRPr="00607149">
              <w:rPr>
                <w:b/>
                <w:bCs/>
                <w:lang w:val="ro-MD"/>
              </w:rPr>
              <w:t>Prin urmare, examinarea promptă a unor astfel de cazuri este importantă pentru siguranța tuturor utilizatorilor serviciilor de asistență medicală.</w:t>
            </w:r>
          </w:p>
          <w:p w14:paraId="40038E5F" w14:textId="1100B3EB" w:rsidR="004F3462" w:rsidRPr="00423439" w:rsidRDefault="004F3462" w:rsidP="00C542B4">
            <w:pPr>
              <w:spacing w:before="120" w:after="120"/>
              <w:jc w:val="center"/>
              <w:rPr>
                <w:lang w:val="ro-MD"/>
              </w:rPr>
            </w:pPr>
            <w:r w:rsidRPr="00423439">
              <w:rPr>
                <w:lang w:val="ro-MD"/>
              </w:rPr>
              <w:t>62. În prezenta cauză, Curtea observă că procedurile intentate de reclamanți au durat aproape 12 ani și au fost marcate de retrimiteri repetate ale cauzei la instanța de fond pentru reexaminare. În opinia Curții, faptul că prima hotărâre în această privință a fost pronunțată la aproape cinci ani după ce reclamanții au intentat acțiunea, coroborat cu deciziile succesive de anulare a hotărârilor instanțelor inferioare, relevă o anumită lipsă de diligență și o deficiență gravă în modul în care instanțele au abordat problemele relevante în circumstanțele specifice ale prezentei cauze. În ciuda complexității relative a cauzei, Curtea consideră, așadar, că procedurile nu au fost desfășurate cu o celeritate rezonabilă.</w:t>
            </w:r>
          </w:p>
        </w:tc>
        <w:tc>
          <w:tcPr>
            <w:tcW w:w="4111" w:type="dxa"/>
            <w:tcBorders>
              <w:top w:val="single" w:sz="8" w:space="0" w:color="auto"/>
              <w:bottom w:val="single" w:sz="8" w:space="0" w:color="auto"/>
              <w:right w:val="single" w:sz="12" w:space="0" w:color="auto"/>
            </w:tcBorders>
          </w:tcPr>
          <w:p w14:paraId="6379A275" w14:textId="279A1E2C" w:rsidR="004F3462" w:rsidRPr="00423439" w:rsidRDefault="004F3462" w:rsidP="00C542B4">
            <w:pPr>
              <w:spacing w:before="120" w:after="120"/>
              <w:jc w:val="center"/>
              <w:rPr>
                <w:lang w:val="ro-MD"/>
              </w:rPr>
            </w:pPr>
            <w:r w:rsidRPr="00423439">
              <w:rPr>
                <w:lang w:val="ro-MD"/>
              </w:rPr>
              <w:lastRenderedPageBreak/>
              <w:t xml:space="preserve">A avut loc o încălcare a aspectului procedural al articolului 2 din Convenție + primului reclamant, 10.000 EUR (zece mii de euro), plus orice impozit care poate fi perceput, cu titlu de prejudiciu moral; celui de-al doilea reclamant, 10.000 EUR (zece mii de euro), plus orice impozit care poate fi perceput, cu titlu de prejudiciu moral; celui de-al treilea reclamant, 7.000 EUR (șapte mii de euro), plus orice impozit care poate fi perceput, cu titlu de prejudiciu moral; celui de-al patrulea reclamant, 10.000 EUR (zece mii de euro), plus orice impozit care poate fi perceput, cu titlu de prejudiciu moral; celor patru reclamanți în mod conjugat, 5.272 EUR (cinci mii două sute șaptezeci și doi de euro), plus orice taxă </w:t>
            </w:r>
            <w:r w:rsidRPr="00423439">
              <w:rPr>
                <w:lang w:val="ro-MD"/>
              </w:rPr>
              <w:lastRenderedPageBreak/>
              <w:t>care le-ar putea fi datorată, cu titlu de costuri și cheltuieli.</w:t>
            </w:r>
          </w:p>
        </w:tc>
      </w:tr>
      <w:tr w:rsidR="004F3462" w:rsidRPr="00423439" w14:paraId="02A8559A" w14:textId="77777777" w:rsidTr="00C542B4">
        <w:trPr>
          <w:trHeight w:val="838"/>
        </w:trPr>
        <w:tc>
          <w:tcPr>
            <w:tcW w:w="557" w:type="dxa"/>
            <w:tcBorders>
              <w:top w:val="single" w:sz="8" w:space="0" w:color="auto"/>
              <w:left w:val="single" w:sz="12" w:space="0" w:color="auto"/>
              <w:bottom w:val="single" w:sz="8" w:space="0" w:color="auto"/>
            </w:tcBorders>
          </w:tcPr>
          <w:p w14:paraId="2066D525" w14:textId="6891E19E" w:rsidR="004F3462" w:rsidRPr="00423439" w:rsidRDefault="004F3462" w:rsidP="00C542B4">
            <w:pPr>
              <w:spacing w:before="120" w:after="120"/>
              <w:jc w:val="center"/>
              <w:rPr>
                <w:b/>
                <w:bCs/>
                <w:lang w:val="ro-MD"/>
              </w:rPr>
            </w:pPr>
            <w:r w:rsidRPr="00423439">
              <w:rPr>
                <w:b/>
                <w:bCs/>
                <w:lang w:val="ro-MD"/>
              </w:rPr>
              <w:lastRenderedPageBreak/>
              <w:t>19)</w:t>
            </w:r>
          </w:p>
        </w:tc>
        <w:tc>
          <w:tcPr>
            <w:tcW w:w="1413" w:type="dxa"/>
            <w:tcBorders>
              <w:top w:val="single" w:sz="8" w:space="0" w:color="auto"/>
              <w:bottom w:val="single" w:sz="8" w:space="0" w:color="auto"/>
            </w:tcBorders>
          </w:tcPr>
          <w:p w14:paraId="66FEE8DB" w14:textId="6807F44F" w:rsidR="00423439" w:rsidRPr="00423439" w:rsidRDefault="00423439" w:rsidP="00C542B4">
            <w:pPr>
              <w:spacing w:before="120" w:after="120"/>
              <w:jc w:val="center"/>
              <w:rPr>
                <w:b/>
                <w:bCs/>
                <w:lang w:val="ro-MD"/>
              </w:rPr>
            </w:pPr>
            <w:r w:rsidRPr="00423439">
              <w:rPr>
                <w:b/>
                <w:bCs/>
                <w:lang w:val="ro-MD"/>
              </w:rPr>
              <w:t>Ribarev c. Macedonia de Nord</w:t>
            </w:r>
          </w:p>
          <w:p w14:paraId="3B648CB6" w14:textId="6F67740A" w:rsidR="004F3462" w:rsidRPr="00423439" w:rsidRDefault="00423439" w:rsidP="00C542B4">
            <w:pPr>
              <w:spacing w:before="120" w:after="120"/>
              <w:jc w:val="center"/>
              <w:rPr>
                <w:b/>
                <w:bCs/>
                <w:lang w:val="ro-MD"/>
              </w:rPr>
            </w:pPr>
            <w:r w:rsidRPr="00423439">
              <w:rPr>
                <w:b/>
                <w:bCs/>
                <w:lang w:val="ro-MD"/>
              </w:rPr>
              <w:t>(</w:t>
            </w:r>
            <w:r w:rsidRPr="00423439">
              <w:rPr>
                <w:b/>
                <w:bCs/>
                <w:i/>
                <w:iCs/>
                <w:lang w:val="ro-MD"/>
              </w:rPr>
              <w:t xml:space="preserve">Cererea nr. </w:t>
            </w:r>
            <w:hyperlink r:id="rId26" w:history="1">
              <w:r w:rsidRPr="00423439">
                <w:rPr>
                  <w:rStyle w:val="af4"/>
                  <w:b/>
                  <w:bCs/>
                  <w:i/>
                  <w:iCs/>
                  <w:lang w:val="ro-MD"/>
                </w:rPr>
                <w:t>39987/22</w:t>
              </w:r>
            </w:hyperlink>
            <w:r w:rsidRPr="00423439">
              <w:rPr>
                <w:b/>
                <w:bCs/>
                <w:lang w:val="ro-MD"/>
              </w:rPr>
              <w:t>)</w:t>
            </w:r>
          </w:p>
          <w:p w14:paraId="240BB3DA" w14:textId="28B2CA08" w:rsidR="00423439" w:rsidRPr="00423439" w:rsidRDefault="00423439" w:rsidP="00C542B4">
            <w:pPr>
              <w:spacing w:before="120" w:after="120"/>
              <w:jc w:val="center"/>
              <w:rPr>
                <w:b/>
                <w:bCs/>
                <w:lang w:val="ro-MD"/>
              </w:rPr>
            </w:pPr>
            <w:r w:rsidRPr="00423439">
              <w:rPr>
                <w:b/>
                <w:bCs/>
                <w:lang w:val="ro-MD"/>
              </w:rPr>
              <w:lastRenderedPageBreak/>
              <w:t>13 noiembrie 2025</w:t>
            </w:r>
          </w:p>
        </w:tc>
        <w:tc>
          <w:tcPr>
            <w:tcW w:w="992" w:type="dxa"/>
            <w:tcBorders>
              <w:top w:val="single" w:sz="8" w:space="0" w:color="auto"/>
            </w:tcBorders>
          </w:tcPr>
          <w:p w14:paraId="6FFF69A4" w14:textId="5F19B8E6" w:rsidR="004F3462" w:rsidRPr="00423439" w:rsidRDefault="00423439" w:rsidP="00C542B4">
            <w:pPr>
              <w:spacing w:before="120" w:after="120"/>
              <w:jc w:val="center"/>
              <w:rPr>
                <w:lang w:val="ro-MD"/>
              </w:rPr>
            </w:pPr>
            <w:r w:rsidRPr="00423439">
              <w:rPr>
                <w:lang w:val="ro-MD"/>
              </w:rPr>
              <w:lastRenderedPageBreak/>
              <w:t>C</w:t>
            </w:r>
          </w:p>
        </w:tc>
        <w:tc>
          <w:tcPr>
            <w:tcW w:w="992" w:type="dxa"/>
            <w:tcBorders>
              <w:top w:val="single" w:sz="8" w:space="0" w:color="auto"/>
              <w:bottom w:val="single" w:sz="8" w:space="0" w:color="auto"/>
            </w:tcBorders>
          </w:tcPr>
          <w:p w14:paraId="386E004B" w14:textId="77777777" w:rsidR="004F3462" w:rsidRPr="00423439" w:rsidRDefault="00423439" w:rsidP="00C542B4">
            <w:pPr>
              <w:spacing w:before="120" w:after="120"/>
              <w:jc w:val="center"/>
              <w:rPr>
                <w:lang w:val="ro-MD"/>
              </w:rPr>
            </w:pPr>
            <w:r w:rsidRPr="00423439">
              <w:rPr>
                <w:lang w:val="ro-MD"/>
              </w:rPr>
              <w:t>6</w:t>
            </w:r>
          </w:p>
          <w:p w14:paraId="6F0E1369" w14:textId="77777777" w:rsidR="00423439" w:rsidRPr="00423439" w:rsidRDefault="00423439" w:rsidP="00C542B4">
            <w:pPr>
              <w:spacing w:before="120" w:after="120"/>
              <w:jc w:val="center"/>
              <w:rPr>
                <w:lang w:val="ro-MD"/>
              </w:rPr>
            </w:pPr>
            <w:r w:rsidRPr="00423439">
              <w:rPr>
                <w:lang w:val="ro-MD"/>
              </w:rPr>
              <w:t>6 § 1</w:t>
            </w:r>
          </w:p>
          <w:p w14:paraId="3484A24E" w14:textId="6CDAD398" w:rsidR="00423439" w:rsidRPr="00423439" w:rsidRDefault="00423439" w:rsidP="00C542B4">
            <w:pPr>
              <w:spacing w:before="120" w:after="120"/>
              <w:jc w:val="center"/>
              <w:rPr>
                <w:lang w:val="ro-MD"/>
              </w:rPr>
            </w:pPr>
          </w:p>
        </w:tc>
        <w:tc>
          <w:tcPr>
            <w:tcW w:w="709" w:type="dxa"/>
            <w:tcBorders>
              <w:top w:val="single" w:sz="8" w:space="0" w:color="auto"/>
              <w:bottom w:val="single" w:sz="8" w:space="0" w:color="auto"/>
            </w:tcBorders>
          </w:tcPr>
          <w:p w14:paraId="5F534933" w14:textId="5C7C0855" w:rsidR="004F3462" w:rsidRPr="00423439" w:rsidRDefault="00423439" w:rsidP="00C542B4">
            <w:pPr>
              <w:spacing w:before="120" w:after="120"/>
              <w:jc w:val="center"/>
              <w:rPr>
                <w:lang w:val="ro-MD"/>
              </w:rPr>
            </w:pPr>
            <w:r w:rsidRPr="00423439">
              <w:rPr>
                <w:lang w:val="ro-MD"/>
              </w:rPr>
              <w:t>-</w:t>
            </w:r>
          </w:p>
        </w:tc>
        <w:tc>
          <w:tcPr>
            <w:tcW w:w="1276" w:type="dxa"/>
            <w:tcBorders>
              <w:top w:val="single" w:sz="8" w:space="0" w:color="auto"/>
              <w:bottom w:val="single" w:sz="8" w:space="0" w:color="auto"/>
            </w:tcBorders>
          </w:tcPr>
          <w:p w14:paraId="192C1294" w14:textId="600003E6" w:rsidR="004F3462" w:rsidRPr="00423439" w:rsidRDefault="00423439" w:rsidP="00C542B4">
            <w:pPr>
              <w:spacing w:before="120" w:after="120"/>
              <w:jc w:val="center"/>
              <w:rPr>
                <w:lang w:val="ro-MD"/>
              </w:rPr>
            </w:pPr>
            <w:r w:rsidRPr="00423439">
              <w:rPr>
                <w:lang w:val="ro-MD"/>
              </w:rPr>
              <w:t xml:space="preserve">Acces la instanță, fost judecător al Curții Supreme, abateri profesionale, </w:t>
            </w:r>
            <w:r w:rsidRPr="00423439">
              <w:rPr>
                <w:lang w:val="ro-MD"/>
              </w:rPr>
              <w:lastRenderedPageBreak/>
              <w:t>incapacitatea de a ataca deciziile</w:t>
            </w:r>
          </w:p>
        </w:tc>
        <w:tc>
          <w:tcPr>
            <w:tcW w:w="6095" w:type="dxa"/>
            <w:tcBorders>
              <w:top w:val="single" w:sz="8" w:space="0" w:color="auto"/>
              <w:bottom w:val="single" w:sz="8" w:space="0" w:color="auto"/>
            </w:tcBorders>
          </w:tcPr>
          <w:p w14:paraId="72A102D5" w14:textId="77777777" w:rsidR="004F3462" w:rsidRPr="00423439" w:rsidRDefault="00423439" w:rsidP="00C542B4">
            <w:pPr>
              <w:spacing w:before="120" w:after="120"/>
              <w:jc w:val="center"/>
              <w:rPr>
                <w:lang w:val="ro-MD"/>
              </w:rPr>
            </w:pPr>
            <w:r w:rsidRPr="00423439">
              <w:rPr>
                <w:lang w:val="ro-MD"/>
              </w:rPr>
              <w:lastRenderedPageBreak/>
              <w:t xml:space="preserve">77. Curtea notează că plângerea reclamantului privind incapacitatea sa de a depune un al doilea apel împotriva deciziei de respingere a CJS, pronunțată după remiterea cauzei de către Comisia de Apel, </w:t>
            </w:r>
            <w:r w:rsidRPr="00E3011C">
              <w:rPr>
                <w:b/>
                <w:bCs/>
                <w:lang w:val="ro-MD"/>
              </w:rPr>
              <w:t>se referă în principal la o presupusă încălcare a dreptului său de acces la o instanță.</w:t>
            </w:r>
            <w:r w:rsidRPr="00423439">
              <w:rPr>
                <w:lang w:val="ro-MD"/>
              </w:rPr>
              <w:t xml:space="preserve"> Aceasta reiterează că, în cauzele privind proceduri disciplinare împotriva judecătorilor, Convenția impune instituirea a cel puțin unuia dintre următoarele două mecanisme: fie organismele disciplinare profesionale </w:t>
            </w:r>
            <w:r w:rsidRPr="00423439">
              <w:rPr>
                <w:lang w:val="ro-MD"/>
              </w:rPr>
              <w:lastRenderedPageBreak/>
              <w:t>îndeplinesc ele însele cerințele articolului 6 din Convenție, fie procedurile aflate în fața acestora sunt supuse unei revizuiri ulterioare de către un organ judiciar cu jurisdicție deplină care oferă el însuși garanțiile articolului 6.</w:t>
            </w:r>
          </w:p>
          <w:p w14:paraId="232F5413" w14:textId="77777777" w:rsidR="00423439" w:rsidRPr="00E3011C" w:rsidRDefault="00423439" w:rsidP="00C542B4">
            <w:pPr>
              <w:spacing w:before="120" w:after="120"/>
              <w:jc w:val="center"/>
              <w:rPr>
                <w:b/>
                <w:bCs/>
                <w:lang w:val="ro-MD"/>
              </w:rPr>
            </w:pPr>
            <w:r w:rsidRPr="00423439">
              <w:rPr>
                <w:lang w:val="ro-MD"/>
              </w:rPr>
              <w:t>87. </w:t>
            </w:r>
            <w:r w:rsidRPr="00E3011C">
              <w:rPr>
                <w:b/>
                <w:bCs/>
                <w:lang w:val="ro-MD"/>
              </w:rPr>
              <w:t>Curtea a considerat anterior că până și prezența pasivă a unui membru al guvernului într-un organ competent să desfășoare proceduri disciplinare împotriva judecătorilor este, în sine, extrem de problematică în lumina cerințelor articolului 6 din Convenție și, în special, a cerinței de independență a organului disciplinar.</w:t>
            </w:r>
          </w:p>
          <w:p w14:paraId="1F9B4A8B" w14:textId="77777777" w:rsidR="00423439" w:rsidRPr="00423439" w:rsidRDefault="00423439" w:rsidP="00C542B4">
            <w:pPr>
              <w:spacing w:before="120" w:after="120"/>
              <w:jc w:val="center"/>
              <w:rPr>
                <w:lang w:val="ro-MD"/>
              </w:rPr>
            </w:pPr>
            <w:r w:rsidRPr="00423439">
              <w:rPr>
                <w:lang w:val="ro-MD"/>
              </w:rPr>
              <w:t>89. Având în vedere această concluzie, Curtea consideră că plângerea reclamantului privind imposibilitatea sa de a ataca a doua decizie a CJS trebuie evaluată ca o plângere privind accesul la o instanță superioară. </w:t>
            </w:r>
          </w:p>
          <w:p w14:paraId="553691CC" w14:textId="77777777" w:rsidR="00423439" w:rsidRPr="00423439" w:rsidRDefault="00423439" w:rsidP="00C542B4">
            <w:pPr>
              <w:spacing w:before="120" w:after="120"/>
              <w:jc w:val="center"/>
              <w:rPr>
                <w:lang w:val="ro-MD"/>
              </w:rPr>
            </w:pPr>
            <w:r w:rsidRPr="00423439">
              <w:rPr>
                <w:lang w:val="ro-MD"/>
              </w:rPr>
              <w:t xml:space="preserve">93. [..] În stabilirea unei astfel de reglementări, statele contractante se bucură de o anumită marjă de apreciere. Deși decizia finală cu privire la respectarea cerințelor Convenției revine Curții, nu este rolul Curții de a înlocui evaluarea autorităților naționale cu cea mai bună politică în acest domeniu cu propria sa evaluare. </w:t>
            </w:r>
            <w:r w:rsidRPr="00E3011C">
              <w:rPr>
                <w:b/>
                <w:bCs/>
                <w:lang w:val="ro-MD"/>
              </w:rPr>
              <w:t>Cu toate acestea, orice limitări aplicate nu trebuie să restricționeze accesul persoanelor într-un mod sau într-o asemenea măsură încât însăși esența dreptului să fie afectată.</w:t>
            </w:r>
            <w:r w:rsidRPr="00423439">
              <w:rPr>
                <w:lang w:val="ro-MD"/>
              </w:rPr>
              <w:t xml:space="preserve"> În plus, o </w:t>
            </w:r>
            <w:r w:rsidRPr="00423439">
              <w:rPr>
                <w:lang w:val="ro-MD"/>
              </w:rPr>
              <w:lastRenderedPageBreak/>
              <w:t>limitare nu va fi compatibilă cu articolul 6 § 1 dacă nu urmărește un scop legitim și dacă nu există un raport rezonabil de proporționalitate între mijloacele utilizate și scopul urmărit.</w:t>
            </w:r>
          </w:p>
          <w:p w14:paraId="4AD18491" w14:textId="083C3A18" w:rsidR="00423439" w:rsidRPr="00423439" w:rsidRDefault="00423439" w:rsidP="00C542B4">
            <w:pPr>
              <w:spacing w:before="120" w:after="120"/>
              <w:jc w:val="center"/>
              <w:rPr>
                <w:lang w:val="ro-MD"/>
              </w:rPr>
            </w:pPr>
            <w:r w:rsidRPr="00423439">
              <w:rPr>
                <w:lang w:val="ro-MD"/>
              </w:rPr>
              <w:t xml:space="preserve">101. [..] </w:t>
            </w:r>
            <w:r w:rsidRPr="00E3011C">
              <w:rPr>
                <w:b/>
                <w:bCs/>
                <w:lang w:val="ro-MD"/>
              </w:rPr>
              <w:t>Curtea reiterează faptul că Convenția impune fie ca organismele disciplinare profesionale să îndeplinească cerințele articolului 6 din Convenție</w:t>
            </w:r>
            <w:r w:rsidRPr="00423439">
              <w:rPr>
                <w:lang w:val="ro-MD"/>
              </w:rPr>
              <w:t>, fie ca procedurile aflate în fața lor să fie supuse unei revizuiri ulterioare de către un organ judiciar cu jurisdicție deplină. Cu alte cuvinte, Convenția nu impune ca plângerile referitoare la procedurile disciplinare împotriva judecătorilor să fie soluționate la două niveluri de jurisdicție. Cu toate acestea, așa cum s-a menționat mai sus, acolo unde există astfel de instanțe, trebuie respectate garanțiile unui drept efectiv de acces la acestea</w:t>
            </w:r>
          </w:p>
        </w:tc>
        <w:tc>
          <w:tcPr>
            <w:tcW w:w="4111" w:type="dxa"/>
            <w:tcBorders>
              <w:top w:val="single" w:sz="8" w:space="0" w:color="auto"/>
              <w:bottom w:val="single" w:sz="8" w:space="0" w:color="auto"/>
              <w:right w:val="single" w:sz="12" w:space="0" w:color="auto"/>
            </w:tcBorders>
          </w:tcPr>
          <w:p w14:paraId="62D78F7B" w14:textId="4FB20C8D" w:rsidR="004F3462" w:rsidRPr="00423439" w:rsidRDefault="00423439" w:rsidP="00C542B4">
            <w:pPr>
              <w:spacing w:before="120" w:after="120"/>
              <w:jc w:val="center"/>
              <w:rPr>
                <w:lang w:val="ro-MD"/>
              </w:rPr>
            </w:pPr>
            <w:r w:rsidRPr="00423439">
              <w:rPr>
                <w:lang w:val="ro-MD"/>
              </w:rPr>
              <w:lastRenderedPageBreak/>
              <w:t>A avut loc o încălcare a articolului 6 § 1 din Convenție sub acest titlu. Reclamantul nu a depus o cerere în temeiul articolului 41. Prin urmare, Curtea consideră că nu se justifică acordarea vreunei sume cu acest titlu. </w:t>
            </w:r>
          </w:p>
        </w:tc>
      </w:tr>
      <w:tr w:rsidR="004F223B" w:rsidRPr="00423439" w14:paraId="35510BBB" w14:textId="77777777" w:rsidTr="00C542B4">
        <w:trPr>
          <w:trHeight w:val="2402"/>
        </w:trPr>
        <w:tc>
          <w:tcPr>
            <w:tcW w:w="557" w:type="dxa"/>
            <w:tcBorders>
              <w:top w:val="single" w:sz="8" w:space="0" w:color="auto"/>
              <w:left w:val="single" w:sz="12" w:space="0" w:color="auto"/>
              <w:bottom w:val="single" w:sz="8" w:space="0" w:color="auto"/>
            </w:tcBorders>
          </w:tcPr>
          <w:p w14:paraId="4DF2299C" w14:textId="27E51398" w:rsidR="004F223B" w:rsidRPr="00423439" w:rsidRDefault="004F3462" w:rsidP="00C542B4">
            <w:pPr>
              <w:spacing w:before="120" w:after="120"/>
              <w:jc w:val="center"/>
              <w:rPr>
                <w:b/>
                <w:bCs/>
                <w:lang w:val="ro-MD"/>
              </w:rPr>
            </w:pPr>
            <w:r w:rsidRPr="00423439">
              <w:rPr>
                <w:b/>
                <w:bCs/>
                <w:lang w:val="ro-MD"/>
              </w:rPr>
              <w:lastRenderedPageBreak/>
              <w:t>20</w:t>
            </w:r>
            <w:r w:rsidR="004F223B" w:rsidRPr="00423439">
              <w:rPr>
                <w:b/>
                <w:bCs/>
                <w:lang w:val="ro-MD"/>
              </w:rPr>
              <w:t>)</w:t>
            </w:r>
          </w:p>
        </w:tc>
        <w:tc>
          <w:tcPr>
            <w:tcW w:w="1413" w:type="dxa"/>
            <w:tcBorders>
              <w:top w:val="single" w:sz="8" w:space="0" w:color="auto"/>
              <w:bottom w:val="single" w:sz="8" w:space="0" w:color="auto"/>
            </w:tcBorders>
          </w:tcPr>
          <w:p w14:paraId="5147D649" w14:textId="77777777" w:rsidR="004F223B" w:rsidRPr="00423439" w:rsidRDefault="004F223B" w:rsidP="00C542B4">
            <w:pPr>
              <w:spacing w:before="120" w:after="120"/>
              <w:jc w:val="center"/>
              <w:rPr>
                <w:b/>
                <w:bCs/>
                <w:lang w:val="ro-MD"/>
              </w:rPr>
            </w:pPr>
            <w:r w:rsidRPr="00423439">
              <w:rPr>
                <w:b/>
                <w:bCs/>
                <w:lang w:val="ro-MD"/>
              </w:rPr>
              <w:t>Apanasewicz v. Polonia</w:t>
            </w:r>
          </w:p>
          <w:p w14:paraId="0B6B4A0A" w14:textId="2C5C096A" w:rsidR="004F223B" w:rsidRPr="00423439" w:rsidRDefault="004F223B" w:rsidP="00C542B4">
            <w:pPr>
              <w:spacing w:before="120" w:after="120"/>
              <w:jc w:val="center"/>
              <w:rPr>
                <w:i/>
                <w:iCs/>
                <w:lang w:val="ro-MD"/>
              </w:rPr>
            </w:pPr>
            <w:r w:rsidRPr="00423439">
              <w:rPr>
                <w:i/>
                <w:iCs/>
                <w:lang w:val="ro-MD"/>
              </w:rPr>
              <w:t>(Cererea nr. </w:t>
            </w:r>
            <w:hyperlink r:id="rId27" w:history="1">
              <w:r w:rsidRPr="00423439">
                <w:rPr>
                  <w:rStyle w:val="af4"/>
                  <w:i/>
                  <w:iCs/>
                  <w:lang w:val="ro-MD"/>
                </w:rPr>
                <w:t>6854/07</w:t>
              </w:r>
            </w:hyperlink>
            <w:r w:rsidRPr="00423439">
              <w:rPr>
                <w:i/>
                <w:iCs/>
                <w:lang w:val="ro-MD"/>
              </w:rPr>
              <w:t>)</w:t>
            </w:r>
          </w:p>
          <w:p w14:paraId="5E331F5C" w14:textId="7314068C" w:rsidR="004F223B" w:rsidRPr="00423439" w:rsidRDefault="004F223B" w:rsidP="00C542B4">
            <w:pPr>
              <w:spacing w:before="120" w:after="120"/>
              <w:jc w:val="center"/>
              <w:rPr>
                <w:b/>
                <w:bCs/>
                <w:lang w:val="ro-MD"/>
              </w:rPr>
            </w:pPr>
            <w:r w:rsidRPr="00423439">
              <w:rPr>
                <w:b/>
                <w:bCs/>
                <w:lang w:val="ro-MD"/>
              </w:rPr>
              <w:t>3 mai 2011</w:t>
            </w:r>
          </w:p>
        </w:tc>
        <w:tc>
          <w:tcPr>
            <w:tcW w:w="992" w:type="dxa"/>
            <w:tcBorders>
              <w:top w:val="single" w:sz="8" w:space="0" w:color="auto"/>
            </w:tcBorders>
          </w:tcPr>
          <w:p w14:paraId="6DDCC631" w14:textId="580D0C6C" w:rsidR="004F223B" w:rsidRPr="00423439" w:rsidRDefault="007E0FEB" w:rsidP="00C542B4">
            <w:pPr>
              <w:spacing w:before="120" w:after="120"/>
              <w:jc w:val="center"/>
              <w:rPr>
                <w:lang w:val="ro-MD"/>
              </w:rPr>
            </w:pPr>
            <w:r w:rsidRPr="00423439">
              <w:rPr>
                <w:lang w:val="ro-MD"/>
              </w:rPr>
              <w:t>C</w:t>
            </w:r>
          </w:p>
        </w:tc>
        <w:tc>
          <w:tcPr>
            <w:tcW w:w="992" w:type="dxa"/>
            <w:tcBorders>
              <w:top w:val="single" w:sz="8" w:space="0" w:color="auto"/>
              <w:bottom w:val="single" w:sz="8" w:space="0" w:color="auto"/>
            </w:tcBorders>
          </w:tcPr>
          <w:p w14:paraId="32E7D8F4" w14:textId="16985AB6" w:rsidR="004F223B" w:rsidRPr="00423439" w:rsidRDefault="004F223B" w:rsidP="00C542B4">
            <w:pPr>
              <w:spacing w:before="120" w:after="120"/>
              <w:jc w:val="center"/>
              <w:rPr>
                <w:lang w:val="ro-MD"/>
              </w:rPr>
            </w:pPr>
            <w:r w:rsidRPr="00423439">
              <w:rPr>
                <w:lang w:val="ro-MD"/>
              </w:rPr>
              <w:t>6 § 1</w:t>
            </w:r>
          </w:p>
          <w:p w14:paraId="6A46F685" w14:textId="7485100C" w:rsidR="004F223B" w:rsidRPr="00423439" w:rsidRDefault="004F223B" w:rsidP="00C542B4">
            <w:pPr>
              <w:spacing w:before="120" w:after="120"/>
              <w:jc w:val="center"/>
              <w:rPr>
                <w:lang w:val="ro-MD"/>
              </w:rPr>
            </w:pPr>
            <w:r w:rsidRPr="00423439">
              <w:rPr>
                <w:lang w:val="ro-MD"/>
              </w:rPr>
              <w:t>8</w:t>
            </w:r>
          </w:p>
        </w:tc>
        <w:tc>
          <w:tcPr>
            <w:tcW w:w="709" w:type="dxa"/>
            <w:tcBorders>
              <w:top w:val="single" w:sz="8" w:space="0" w:color="auto"/>
              <w:bottom w:val="single" w:sz="8" w:space="0" w:color="auto"/>
            </w:tcBorders>
          </w:tcPr>
          <w:p w14:paraId="3F6C2DF3" w14:textId="61E20072" w:rsidR="004F223B" w:rsidRPr="00423439" w:rsidRDefault="004F223B" w:rsidP="00C542B4">
            <w:pPr>
              <w:spacing w:before="120" w:after="120"/>
              <w:jc w:val="center"/>
              <w:rPr>
                <w:lang w:val="ro-MD"/>
              </w:rPr>
            </w:pPr>
            <w:r w:rsidRPr="00423439">
              <w:rPr>
                <w:lang w:val="ro-MD"/>
              </w:rPr>
              <w:t>8</w:t>
            </w:r>
          </w:p>
        </w:tc>
        <w:tc>
          <w:tcPr>
            <w:tcW w:w="1276" w:type="dxa"/>
            <w:tcBorders>
              <w:top w:val="single" w:sz="8" w:space="0" w:color="auto"/>
              <w:bottom w:val="single" w:sz="8" w:space="0" w:color="auto"/>
            </w:tcBorders>
          </w:tcPr>
          <w:p w14:paraId="342B90C1" w14:textId="11645F3B" w:rsidR="004F223B" w:rsidRPr="00423439" w:rsidRDefault="004F223B" w:rsidP="00C542B4">
            <w:pPr>
              <w:spacing w:before="120" w:after="120"/>
              <w:jc w:val="center"/>
              <w:rPr>
                <w:lang w:val="ro-MD"/>
              </w:rPr>
            </w:pPr>
            <w:r w:rsidRPr="00423439">
              <w:rPr>
                <w:lang w:val="ro-MD"/>
              </w:rPr>
              <w:t>Poluare fonică, fabrică, deteriorarea stării de sănătate, influența vecinilor</w:t>
            </w:r>
          </w:p>
        </w:tc>
        <w:tc>
          <w:tcPr>
            <w:tcW w:w="6095" w:type="dxa"/>
            <w:tcBorders>
              <w:top w:val="single" w:sz="8" w:space="0" w:color="auto"/>
              <w:bottom w:val="single" w:sz="8" w:space="0" w:color="auto"/>
            </w:tcBorders>
          </w:tcPr>
          <w:p w14:paraId="0BFC867F" w14:textId="77777777" w:rsidR="004F223B" w:rsidRPr="00423439" w:rsidRDefault="004F223B" w:rsidP="00C542B4">
            <w:pPr>
              <w:spacing w:before="120" w:after="120"/>
              <w:jc w:val="center"/>
              <w:rPr>
                <w:b/>
                <w:bCs/>
                <w:lang w:val="ro-MD"/>
              </w:rPr>
            </w:pPr>
            <w:r w:rsidRPr="00423439">
              <w:rPr>
                <w:lang w:val="ro-MD"/>
              </w:rPr>
              <w:t xml:space="preserve">57. Curtea notează în acest context că procedurile în cauză, inclusiv faza de executare, s-au întins pe o perioadă de peste douăzeci de ani. În ciuda recunoașterii de către Guvern a caracterului nerezonabil al acestei întârzieri, Curtea consideră că cuantumul satisfacției echitabile oferite, plus despăgubirea acordată reclamantului în sistemul juridic intern, </w:t>
            </w:r>
            <w:r w:rsidRPr="00423439">
              <w:rPr>
                <w:b/>
                <w:bCs/>
                <w:lang w:val="ro-MD"/>
              </w:rPr>
              <w:t>nu pot constitui o reparare adecvată în lumina criteriilor aplicate de obicei în cazuri similare.</w:t>
            </w:r>
          </w:p>
          <w:p w14:paraId="221E76C4" w14:textId="403D5A54" w:rsidR="004F223B" w:rsidRPr="00423439" w:rsidRDefault="004F223B" w:rsidP="00C542B4">
            <w:pPr>
              <w:spacing w:before="120" w:after="120"/>
              <w:jc w:val="center"/>
              <w:rPr>
                <w:b/>
                <w:bCs/>
                <w:lang w:val="ro-MD"/>
              </w:rPr>
            </w:pPr>
            <w:r w:rsidRPr="00423439">
              <w:rPr>
                <w:lang w:val="ro-MD"/>
              </w:rPr>
              <w:lastRenderedPageBreak/>
              <w:t xml:space="preserve">73. Curtea reamintește, de asemenea, că, odată ce o hotărâre internă definitivă a fost pronunțată de instanțele naționale, aceasta trebuie să fie pusă în aplicare cu o claritate și o consecvență rezonabile de către autoritățile publice, </w:t>
            </w:r>
            <w:r w:rsidRPr="00423439">
              <w:rPr>
                <w:b/>
                <w:bCs/>
                <w:lang w:val="ro-MD"/>
              </w:rPr>
              <w:t>pentru a evita pe cât posibil insecuritatea și incertitudinea juridică pentru subiecții de drept vizați de aplicarea sa.</w:t>
            </w:r>
          </w:p>
          <w:p w14:paraId="280A4DBD" w14:textId="77777777" w:rsidR="004F223B" w:rsidRPr="00423439" w:rsidRDefault="004F223B" w:rsidP="00C542B4">
            <w:pPr>
              <w:spacing w:before="120" w:after="120"/>
              <w:jc w:val="center"/>
              <w:rPr>
                <w:lang w:val="ro-MD"/>
              </w:rPr>
            </w:pPr>
            <w:r w:rsidRPr="00423439">
              <w:rPr>
                <w:lang w:val="ro-MD"/>
              </w:rPr>
              <w:t>74. Curtea subliniază că rolul său este de a examina dacă, într-un caz dat, autoritățile și-au respectat obligațiile pozitive în temeiul articolului 6 din Convenție și, mai precis, dacă măsurile adoptate de autorități pentru a asigura executarea unei hotărâri judecătorești au fost adecvate și suficiente. Fiecare stat contractant are sarcina de a stabili un cadru juridic adecvat și suficient pentru a asigura respectarea obligațiilor sale positive.</w:t>
            </w:r>
          </w:p>
          <w:p w14:paraId="28F0C873" w14:textId="77777777" w:rsidR="004F223B" w:rsidRPr="00423439" w:rsidRDefault="004F223B" w:rsidP="00C542B4">
            <w:pPr>
              <w:spacing w:before="120" w:after="120"/>
              <w:jc w:val="center"/>
              <w:rPr>
                <w:i/>
                <w:iCs/>
                <w:lang w:val="ro-MD"/>
              </w:rPr>
            </w:pPr>
            <w:r w:rsidRPr="00423439">
              <w:rPr>
                <w:lang w:val="ro-MD"/>
              </w:rPr>
              <w:t xml:space="preserve">93. Curtea reamintește că articolul 8 din Convenție protejează dreptul oricărei persoane </w:t>
            </w:r>
            <w:r w:rsidRPr="00423439">
              <w:rPr>
                <w:i/>
                <w:iCs/>
                <w:lang w:val="ro-MD"/>
              </w:rPr>
              <w:t xml:space="preserve">la respectarea vieții sale private și de familie, a domiciliului său și a corespondenței sale. Domiciliul este, în mod normal, locul, spațiul definit fizic, unde se desfășoară viața privată și de familie. Persoanele au dreptul la respectarea domiciliului lor, înțeles nu doar ca dreptul la un simplu spațiu fizic, ci și ca dreptul la exercitarea liniștită a acestui spațiu. Încălcările dreptului la respectarea domiciliului includ nu numai încălcări materiale sau fizice, cum ar fi intrarea unei persoane neautorizate în domiciliu, ci și încălcări imateriale </w:t>
            </w:r>
            <w:r w:rsidRPr="00423439">
              <w:rPr>
                <w:i/>
                <w:iCs/>
                <w:lang w:val="ro-MD"/>
              </w:rPr>
              <w:lastRenderedPageBreak/>
              <w:t>sau intangibile, cum ar fi zgomotul, emisiile, mirosurile și alte interferențe. Dacă încălcările sunt grave, acestea pot priva o persoană de dreptul său la respectarea domiciliului său, deoarece o împiedică să se bucure de acesta.</w:t>
            </w:r>
          </w:p>
          <w:p w14:paraId="065D0EEA" w14:textId="5089E0E8" w:rsidR="004F223B" w:rsidRPr="00423439" w:rsidRDefault="004F223B" w:rsidP="00C542B4">
            <w:pPr>
              <w:spacing w:before="120" w:after="120"/>
              <w:jc w:val="center"/>
              <w:rPr>
                <w:lang w:val="ro-MD"/>
              </w:rPr>
            </w:pPr>
            <w:r w:rsidRPr="00423439">
              <w:rPr>
                <w:lang w:val="ro-MD"/>
              </w:rPr>
              <w:t>102. În acest context, Curtea observă că, în prezenta cauză, nu se poate afirma că autoritățile naționale nu au luat nicio măsură în acest sens. Cu toate acestea, trebuie recunoscut că, până în prezent, măsurile luate, puse în aplicare în esență la inițiativa reclamantului, au rămas complet ineficiente.</w:t>
            </w:r>
          </w:p>
        </w:tc>
        <w:tc>
          <w:tcPr>
            <w:tcW w:w="4111" w:type="dxa"/>
            <w:tcBorders>
              <w:top w:val="single" w:sz="8" w:space="0" w:color="auto"/>
              <w:bottom w:val="single" w:sz="8" w:space="0" w:color="auto"/>
              <w:right w:val="single" w:sz="12" w:space="0" w:color="auto"/>
            </w:tcBorders>
          </w:tcPr>
          <w:p w14:paraId="52DAADDE" w14:textId="3ACB0087" w:rsidR="004F223B" w:rsidRPr="00423439" w:rsidRDefault="004F223B" w:rsidP="00C542B4">
            <w:pPr>
              <w:spacing w:before="120" w:after="120"/>
              <w:jc w:val="center"/>
              <w:rPr>
                <w:lang w:val="ro-MD"/>
              </w:rPr>
            </w:pPr>
            <w:r w:rsidRPr="00423439">
              <w:rPr>
                <w:lang w:val="ro-MD"/>
              </w:rPr>
              <w:lastRenderedPageBreak/>
              <w:t xml:space="preserve">Statul pârât trebuie să plătească reclamantului, în termen de trei luni de la data la care hotărârea devine definitivă în conformitate cu articolul 44 § 2 din Convenție, 15.000 EUR (cincisprezece mii de euro) cu titlu de prejudiciu moral, plus orice impozit care poate fi datorat, și 2.850 EUR (două mii opt sute cincizeci de euro) cu </w:t>
            </w:r>
            <w:r w:rsidRPr="00423439">
              <w:rPr>
                <w:lang w:val="ro-MD"/>
              </w:rPr>
              <w:lastRenderedPageBreak/>
              <w:t>titlu de costuri și cheltuieli, plus orice impozit care poate fi datorat de reclamant, sume care urmează a fi convertite în zloți polonezi la cursul aplicabil la data plății ;</w:t>
            </w:r>
          </w:p>
          <w:p w14:paraId="3B11CF78" w14:textId="2674DAE0" w:rsidR="004F223B" w:rsidRPr="00423439" w:rsidRDefault="004F223B" w:rsidP="00C542B4">
            <w:pPr>
              <w:spacing w:before="120" w:after="120"/>
              <w:jc w:val="center"/>
              <w:rPr>
                <w:lang w:val="ro-MD"/>
              </w:rPr>
            </w:pPr>
            <w:r w:rsidRPr="00423439">
              <w:rPr>
                <w:lang w:val="ro-MD"/>
              </w:rPr>
              <w:t>b) că, de la expirarea perioadei menționate până la plată, aceste sume se majorează cu o dobândă simplă la o rată egală cu cea a facilității de credit marginal a Băncii Centrale Europene aplicabilă în perioada respectivă, plus trei puncte procentuale.</w:t>
            </w:r>
          </w:p>
        </w:tc>
      </w:tr>
      <w:tr w:rsidR="007E0FEB" w:rsidRPr="00423439" w14:paraId="67A26DCC" w14:textId="77777777" w:rsidTr="00C542B4">
        <w:trPr>
          <w:trHeight w:val="859"/>
        </w:trPr>
        <w:tc>
          <w:tcPr>
            <w:tcW w:w="16145" w:type="dxa"/>
            <w:gridSpan w:val="8"/>
            <w:tcBorders>
              <w:right w:val="single" w:sz="12" w:space="0" w:color="auto"/>
            </w:tcBorders>
          </w:tcPr>
          <w:p w14:paraId="6D40BD13" w14:textId="49AC29FB" w:rsidR="007E0FEB" w:rsidRPr="00423439" w:rsidRDefault="007E0FEB" w:rsidP="00C542B4">
            <w:pPr>
              <w:spacing w:before="120" w:after="120"/>
              <w:jc w:val="center"/>
              <w:rPr>
                <w:lang w:val="ro-MD"/>
              </w:rPr>
            </w:pPr>
            <w:r w:rsidRPr="00423439">
              <w:rPr>
                <w:b/>
                <w:bCs/>
                <w:lang w:val="ro-MD"/>
              </w:rPr>
              <w:lastRenderedPageBreak/>
              <w:t xml:space="preserve">Motivul includerii: </w:t>
            </w:r>
            <w:r w:rsidRPr="00423439">
              <w:rPr>
                <w:lang w:val="ro-MD"/>
              </w:rPr>
              <w:t>Subiectul interferenței vecinilor în viața privată este un subiect personal. Dar această hotărâre accentuează latura procedurală și eșecul autorităților de a întreprinde măsuri, astfel ineficiența măsurilor oricum fac parte din încălcarea prevederilor articolului.</w:t>
            </w:r>
          </w:p>
        </w:tc>
      </w:tr>
    </w:tbl>
    <w:p w14:paraId="34C66636" w14:textId="77777777" w:rsidR="00C909EA" w:rsidRPr="00423439" w:rsidRDefault="00C909EA" w:rsidP="007E0FEB">
      <w:pPr>
        <w:rPr>
          <w:lang w:val="ro-MD"/>
        </w:rPr>
      </w:pPr>
    </w:p>
    <w:sectPr w:rsidR="00C909EA" w:rsidRPr="00423439" w:rsidSect="00483CC9">
      <w:headerReference w:type="default" r:id="rId28"/>
      <w:footerReference w:type="default" r:id="rId29"/>
      <w:headerReference w:type="first" r:id="rId30"/>
      <w:footerReference w:type="first" r:id="rId31"/>
      <w:pgSz w:w="16838" w:h="11906" w:orient="landscape"/>
      <w:pgMar w:top="567" w:right="567" w:bottom="567" w:left="567" w:header="425" w:footer="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BB8F1" w14:textId="77777777" w:rsidR="00C90E69" w:rsidRDefault="00C90E69" w:rsidP="00F3279C">
      <w:pPr>
        <w:spacing w:after="0" w:line="240" w:lineRule="auto"/>
      </w:pPr>
      <w:r>
        <w:separator/>
      </w:r>
    </w:p>
  </w:endnote>
  <w:endnote w:type="continuationSeparator" w:id="0">
    <w:p w14:paraId="5408CF2B" w14:textId="77777777" w:rsidR="00C90E69" w:rsidRDefault="00C90E69" w:rsidP="00F3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841107"/>
      <w:docPartObj>
        <w:docPartGallery w:val="Page Numbers (Bottom of Page)"/>
        <w:docPartUnique/>
      </w:docPartObj>
    </w:sdtPr>
    <w:sdtEndPr>
      <w:rPr>
        <w:noProof/>
      </w:rPr>
    </w:sdtEndPr>
    <w:sdtContent>
      <w:p w14:paraId="0DFAB0F3" w14:textId="276370A3" w:rsidR="00AF53CA" w:rsidRDefault="00AF53CA">
        <w:pPr>
          <w:pStyle w:val="af"/>
          <w:jc w:val="center"/>
        </w:pPr>
        <w:r>
          <w:fldChar w:fldCharType="begin"/>
        </w:r>
        <w:r>
          <w:instrText xml:space="preserve"> PAGE   \* MERGEFORMAT </w:instrText>
        </w:r>
        <w:r>
          <w:fldChar w:fldCharType="separate"/>
        </w:r>
        <w:r w:rsidR="005955D1">
          <w:rPr>
            <w:noProof/>
          </w:rPr>
          <w:t>21</w:t>
        </w:r>
        <w:r>
          <w:rPr>
            <w:noProof/>
          </w:rPr>
          <w:fldChar w:fldCharType="end"/>
        </w:r>
      </w:p>
    </w:sdtContent>
  </w:sdt>
  <w:p w14:paraId="247D7A1E" w14:textId="77777777" w:rsidR="00AF53CA" w:rsidRDefault="00AF53CA">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047833"/>
      <w:docPartObj>
        <w:docPartGallery w:val="Page Numbers (Bottom of Page)"/>
        <w:docPartUnique/>
      </w:docPartObj>
    </w:sdtPr>
    <w:sdtEndPr>
      <w:rPr>
        <w:noProof/>
      </w:rPr>
    </w:sdtEndPr>
    <w:sdtContent>
      <w:p w14:paraId="319F7E66" w14:textId="5899B789" w:rsidR="00A93339" w:rsidRDefault="00A93339">
        <w:pPr>
          <w:pStyle w:val="af"/>
          <w:jc w:val="center"/>
        </w:pPr>
        <w:r>
          <w:fldChar w:fldCharType="begin"/>
        </w:r>
        <w:r>
          <w:instrText xml:space="preserve"> PAGE   \* MERGEFORMAT </w:instrText>
        </w:r>
        <w:r>
          <w:fldChar w:fldCharType="separate"/>
        </w:r>
        <w:r w:rsidR="005955D1">
          <w:rPr>
            <w:noProof/>
          </w:rPr>
          <w:t>1</w:t>
        </w:r>
        <w:r>
          <w:rPr>
            <w:noProof/>
          </w:rPr>
          <w:fldChar w:fldCharType="end"/>
        </w:r>
      </w:p>
    </w:sdtContent>
  </w:sdt>
  <w:p w14:paraId="33E34A20" w14:textId="77777777" w:rsidR="00A93339" w:rsidRDefault="00A9333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BB2F4" w14:textId="77777777" w:rsidR="00C90E69" w:rsidRDefault="00C90E69" w:rsidP="00F3279C">
      <w:pPr>
        <w:spacing w:after="0" w:line="240" w:lineRule="auto"/>
      </w:pPr>
      <w:r>
        <w:separator/>
      </w:r>
    </w:p>
  </w:footnote>
  <w:footnote w:type="continuationSeparator" w:id="0">
    <w:p w14:paraId="70FBFEDE" w14:textId="77777777" w:rsidR="00C90E69" w:rsidRDefault="00C90E69" w:rsidP="00F3279C">
      <w:pPr>
        <w:spacing w:after="0" w:line="240" w:lineRule="auto"/>
      </w:pPr>
      <w:r>
        <w:continuationSeparator/>
      </w:r>
    </w:p>
  </w:footnote>
  <w:footnote w:id="1">
    <w:p w14:paraId="33FC6FCC" w14:textId="77777777" w:rsidR="007E0FEB" w:rsidRPr="006A373D" w:rsidRDefault="007E0FEB">
      <w:pPr>
        <w:pStyle w:val="af1"/>
        <w:rPr>
          <w:lang w:val="ro-MD"/>
        </w:rPr>
      </w:pPr>
      <w:r>
        <w:rPr>
          <w:rStyle w:val="af3"/>
        </w:rPr>
        <w:footnoteRef/>
      </w:r>
      <w:r>
        <w:t xml:space="preserve"> </w:t>
      </w:r>
      <w:r>
        <w:rPr>
          <w:lang w:val="ro-MD"/>
        </w:rPr>
        <w:t xml:space="preserve">Este prezent într-un fișier tematic separat: schimbări climatice </w:t>
      </w:r>
      <w:r w:rsidRPr="006A373D">
        <w:rPr>
          <w:lang w:val="ro-MD"/>
        </w:rPr>
        <w:t>https://www.echr.coe.int/documents/d/echr/FS_Climate_change_ENG</w:t>
      </w:r>
    </w:p>
  </w:footnote>
  <w:footnote w:id="2">
    <w:p w14:paraId="67245442" w14:textId="0DE711C8" w:rsidR="001B27A9" w:rsidRPr="001B27A9" w:rsidRDefault="001B27A9">
      <w:pPr>
        <w:pStyle w:val="af1"/>
        <w:rPr>
          <w:lang w:val="ro-MD"/>
        </w:rPr>
      </w:pPr>
      <w:r>
        <w:rPr>
          <w:rStyle w:val="af3"/>
        </w:rPr>
        <w:footnoteRef/>
      </w:r>
      <w:r>
        <w:t xml:space="preserve"> </w:t>
      </w:r>
      <w:r>
        <w:rPr>
          <w:lang w:val="ro-MD"/>
        </w:rPr>
        <w:t>Din indicele tabelar</w:t>
      </w:r>
    </w:p>
  </w:footnote>
  <w:footnote w:id="3">
    <w:p w14:paraId="03CF3966" w14:textId="44D0F858" w:rsidR="001B27A9" w:rsidRPr="001B27A9" w:rsidRDefault="001B27A9">
      <w:pPr>
        <w:pStyle w:val="af1"/>
        <w:rPr>
          <w:lang w:val="ro-MD"/>
        </w:rPr>
      </w:pPr>
      <w:r>
        <w:rPr>
          <w:rStyle w:val="af3"/>
        </w:rPr>
        <w:footnoteRef/>
      </w:r>
      <w:r>
        <w:t xml:space="preserve"> </w:t>
      </w:r>
      <w:r w:rsidRPr="001B27A9">
        <w:rPr>
          <w:i/>
          <w:iCs/>
          <w:lang w:val="ro-MD"/>
        </w:rPr>
        <w:t>Ibidem.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B427E" w14:textId="68D831E1" w:rsidR="00F3279C" w:rsidRPr="004E2244" w:rsidRDefault="00B0581F" w:rsidP="00C909EA">
    <w:pPr>
      <w:pStyle w:val="ad"/>
      <w:tabs>
        <w:tab w:val="clear" w:pos="4513"/>
        <w:tab w:val="clear" w:pos="9026"/>
        <w:tab w:val="left" w:pos="0"/>
        <w:tab w:val="left" w:pos="10632"/>
        <w:tab w:val="left" w:pos="14175"/>
        <w:tab w:val="right" w:pos="15398"/>
      </w:tabs>
      <w:rPr>
        <w:b/>
        <w:bCs/>
        <w:lang w:val="ro-MD"/>
      </w:rPr>
    </w:pPr>
    <w:r w:rsidRPr="004E2244">
      <w:rPr>
        <w:b/>
        <w:bCs/>
        <w:i/>
        <w:iCs/>
        <w:lang w:val="ro-MD"/>
      </w:rPr>
      <w:t>Principiile Aplicării Convenției Europene a Drepturilor Omului în Ordinea Juridică Internă</w:t>
    </w:r>
    <w:r w:rsidRPr="004E2244">
      <w:rPr>
        <w:b/>
        <w:bCs/>
        <w:i/>
        <w:iCs/>
        <w:lang w:val="ro-MD"/>
      </w:rPr>
      <w:tab/>
    </w:r>
    <w:r w:rsidRPr="004E2244">
      <w:rPr>
        <w:i/>
        <w:iCs/>
        <w:lang w:val="ro-MD"/>
      </w:rPr>
      <w:t>Rusu Vlada</w:t>
    </w:r>
    <w:r w:rsidR="00C909EA" w:rsidRPr="004E2244">
      <w:rPr>
        <w:i/>
        <w:iCs/>
        <w:lang w:val="ro-MD"/>
      </w:rPr>
      <w:t xml:space="preserve"> </w:t>
    </w:r>
    <w:r w:rsidRPr="004E2244">
      <w:rPr>
        <w:i/>
        <w:iCs/>
        <w:lang w:val="ro-MD"/>
      </w:rPr>
      <w:t>gr. 7</w:t>
    </w:r>
    <w:r w:rsidR="00C909EA" w:rsidRPr="004E2244">
      <w:rPr>
        <w:i/>
        <w:iCs/>
        <w:lang w:val="ro-MD"/>
      </w:rPr>
      <w:t xml:space="preserve"> Drept Internațional</w:t>
    </w:r>
    <w:r w:rsidR="00C909EA" w:rsidRPr="004E2244">
      <w:rPr>
        <w:i/>
        <w:iCs/>
        <w:lang w:val="ro-MD"/>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D190" w14:textId="18222627" w:rsidR="00C909EA" w:rsidRPr="00C909EA" w:rsidRDefault="00C909EA" w:rsidP="00C909EA">
    <w:pPr>
      <w:pStyle w:val="ad"/>
      <w:tabs>
        <w:tab w:val="clear" w:pos="4513"/>
        <w:tab w:val="clear" w:pos="9026"/>
        <w:tab w:val="left" w:pos="0"/>
        <w:tab w:val="left" w:pos="10632"/>
        <w:tab w:val="left" w:pos="14175"/>
        <w:tab w:val="right" w:pos="15398"/>
      </w:tabs>
      <w:rPr>
        <w:b/>
        <w:bCs/>
      </w:rPr>
    </w:pPr>
    <w:r w:rsidRPr="00C909EA">
      <w:rPr>
        <w:b/>
        <w:bCs/>
        <w:i/>
        <w:iCs/>
      </w:rPr>
      <w:t>Principiile Aplicării Convenției Europene a Drepturilor Omului în Ordinea Juridică Internă</w:t>
    </w:r>
    <w:r w:rsidRPr="00C909EA">
      <w:rPr>
        <w:b/>
        <w:bCs/>
        <w:i/>
        <w:iCs/>
      </w:rPr>
      <w:tab/>
    </w:r>
    <w:r w:rsidRPr="00C909EA">
      <w:rPr>
        <w:i/>
        <w:iCs/>
        <w:lang w:val="ro-MD"/>
      </w:rPr>
      <w:t xml:space="preserve">Rusu Vlada gr. 7 </w:t>
    </w:r>
    <w:r w:rsidRPr="00B022FF">
      <w:rPr>
        <w:i/>
        <w:iCs/>
      </w:rPr>
      <w:t>Drept Interna</w:t>
    </w:r>
    <w:r w:rsidRPr="00B022FF">
      <w:rPr>
        <w:i/>
        <w:iCs/>
        <w:lang w:val="ro-MD"/>
      </w:rPr>
      <w:t>țional</w:t>
    </w:r>
    <w:r w:rsidRPr="00B022FF">
      <w:rPr>
        <w:i/>
        <w:i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B662E"/>
    <w:multiLevelType w:val="multilevel"/>
    <w:tmpl w:val="5D2C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58332F"/>
    <w:multiLevelType w:val="multilevel"/>
    <w:tmpl w:val="79AC4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E24F9F"/>
    <w:multiLevelType w:val="multilevel"/>
    <w:tmpl w:val="AB5436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9C"/>
    <w:rsid w:val="00090445"/>
    <w:rsid w:val="000D40AE"/>
    <w:rsid w:val="00153A42"/>
    <w:rsid w:val="00176647"/>
    <w:rsid w:val="001B27A9"/>
    <w:rsid w:val="001B549D"/>
    <w:rsid w:val="00273D3D"/>
    <w:rsid w:val="002B08C5"/>
    <w:rsid w:val="002D3EA6"/>
    <w:rsid w:val="00312225"/>
    <w:rsid w:val="00345315"/>
    <w:rsid w:val="003B5C09"/>
    <w:rsid w:val="003C4B46"/>
    <w:rsid w:val="003C7CA2"/>
    <w:rsid w:val="0040135E"/>
    <w:rsid w:val="00402239"/>
    <w:rsid w:val="004126CC"/>
    <w:rsid w:val="00423439"/>
    <w:rsid w:val="00474D45"/>
    <w:rsid w:val="00483CC9"/>
    <w:rsid w:val="00496E65"/>
    <w:rsid w:val="004E2244"/>
    <w:rsid w:val="004E249D"/>
    <w:rsid w:val="004E6351"/>
    <w:rsid w:val="004F223B"/>
    <w:rsid w:val="004F28A6"/>
    <w:rsid w:val="004F3462"/>
    <w:rsid w:val="004F3875"/>
    <w:rsid w:val="00505276"/>
    <w:rsid w:val="00513C76"/>
    <w:rsid w:val="00592113"/>
    <w:rsid w:val="005955D1"/>
    <w:rsid w:val="005F31DF"/>
    <w:rsid w:val="00607149"/>
    <w:rsid w:val="00630733"/>
    <w:rsid w:val="0063785B"/>
    <w:rsid w:val="0067515D"/>
    <w:rsid w:val="006A3333"/>
    <w:rsid w:val="006A373D"/>
    <w:rsid w:val="006C23FE"/>
    <w:rsid w:val="006F330E"/>
    <w:rsid w:val="00726A47"/>
    <w:rsid w:val="00734DB1"/>
    <w:rsid w:val="007625F0"/>
    <w:rsid w:val="00765FE1"/>
    <w:rsid w:val="0079431D"/>
    <w:rsid w:val="007D1934"/>
    <w:rsid w:val="007E0FEB"/>
    <w:rsid w:val="007E2824"/>
    <w:rsid w:val="00842DEA"/>
    <w:rsid w:val="00870AB7"/>
    <w:rsid w:val="0094587E"/>
    <w:rsid w:val="009718CB"/>
    <w:rsid w:val="00A457F6"/>
    <w:rsid w:val="00A84EDA"/>
    <w:rsid w:val="00A90576"/>
    <w:rsid w:val="00A93339"/>
    <w:rsid w:val="00AD71E9"/>
    <w:rsid w:val="00AE6E95"/>
    <w:rsid w:val="00AF53CA"/>
    <w:rsid w:val="00B006DE"/>
    <w:rsid w:val="00B0581F"/>
    <w:rsid w:val="00BE03B6"/>
    <w:rsid w:val="00C12775"/>
    <w:rsid w:val="00C51B45"/>
    <w:rsid w:val="00C542B4"/>
    <w:rsid w:val="00C909EA"/>
    <w:rsid w:val="00C90E69"/>
    <w:rsid w:val="00C91D17"/>
    <w:rsid w:val="00CD4933"/>
    <w:rsid w:val="00CE1804"/>
    <w:rsid w:val="00CE71C3"/>
    <w:rsid w:val="00CF24AD"/>
    <w:rsid w:val="00D076D0"/>
    <w:rsid w:val="00D74122"/>
    <w:rsid w:val="00D809AE"/>
    <w:rsid w:val="00DA3588"/>
    <w:rsid w:val="00DC7EDF"/>
    <w:rsid w:val="00DE06E1"/>
    <w:rsid w:val="00E3011C"/>
    <w:rsid w:val="00E32C74"/>
    <w:rsid w:val="00E751E3"/>
    <w:rsid w:val="00EA7D54"/>
    <w:rsid w:val="00EC0D38"/>
    <w:rsid w:val="00ED39DA"/>
    <w:rsid w:val="00F3279C"/>
    <w:rsid w:val="00F9168D"/>
    <w:rsid w:val="00FF005A"/>
    <w:rsid w:val="00FF4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4E2C9"/>
  <w15:chartTrackingRefBased/>
  <w15:docId w15:val="{7A10FBCF-6F23-445F-A451-3E6C6660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439"/>
    <w:pPr>
      <w:spacing w:line="360" w:lineRule="auto"/>
    </w:pPr>
    <w:rPr>
      <w:rFonts w:ascii="Times New Roman" w:hAnsi="Times New Roman"/>
      <w:kern w:val="0"/>
      <w:sz w:val="24"/>
      <w14:ligatures w14:val="none"/>
    </w:rPr>
  </w:style>
  <w:style w:type="paragraph" w:styleId="1">
    <w:name w:val="heading 1"/>
    <w:basedOn w:val="a"/>
    <w:next w:val="a"/>
    <w:link w:val="10"/>
    <w:uiPriority w:val="9"/>
    <w:qFormat/>
    <w:rsid w:val="00C51B45"/>
    <w:pPr>
      <w:spacing w:before="240" w:after="120" w:line="240" w:lineRule="auto"/>
      <w:ind w:right="6"/>
      <w:jc w:val="both"/>
      <w:outlineLvl w:val="0"/>
    </w:pPr>
    <w:rPr>
      <w:rFonts w:eastAsia="Times New Roman" w:cs="Times New Roman"/>
      <w:b/>
      <w:bCs/>
      <w:szCs w:val="32"/>
      <w:lang w:val="ro-MD"/>
    </w:rPr>
  </w:style>
  <w:style w:type="paragraph" w:styleId="2">
    <w:name w:val="heading 2"/>
    <w:basedOn w:val="a"/>
    <w:next w:val="a"/>
    <w:link w:val="20"/>
    <w:uiPriority w:val="9"/>
    <w:unhideWhenUsed/>
    <w:qFormat/>
    <w:rsid w:val="00C51B45"/>
    <w:pPr>
      <w:spacing w:before="120" w:after="120" w:line="240" w:lineRule="auto"/>
      <w:ind w:right="28"/>
      <w:jc w:val="both"/>
      <w:outlineLvl w:val="1"/>
    </w:pPr>
    <w:rPr>
      <w:rFonts w:eastAsia="Times New Roman" w:cs="Times New Roman"/>
      <w:b/>
      <w:bCs/>
      <w:sz w:val="22"/>
      <w:szCs w:val="28"/>
    </w:rPr>
  </w:style>
  <w:style w:type="paragraph" w:styleId="3">
    <w:name w:val="heading 3"/>
    <w:basedOn w:val="a"/>
    <w:next w:val="a"/>
    <w:link w:val="30"/>
    <w:uiPriority w:val="9"/>
    <w:semiHidden/>
    <w:unhideWhenUsed/>
    <w:qFormat/>
    <w:rsid w:val="00F3279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F3279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3279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327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3279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3279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3279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B45"/>
    <w:rPr>
      <w:rFonts w:ascii="Times New Roman" w:eastAsia="Times New Roman" w:hAnsi="Times New Roman" w:cs="Times New Roman"/>
      <w:b/>
      <w:bCs/>
      <w:kern w:val="0"/>
      <w:sz w:val="24"/>
      <w:szCs w:val="32"/>
      <w:lang w:val="ro-MD"/>
      <w14:ligatures w14:val="none"/>
    </w:rPr>
  </w:style>
  <w:style w:type="character" w:customStyle="1" w:styleId="20">
    <w:name w:val="Заголовок 2 Знак"/>
    <w:basedOn w:val="a0"/>
    <w:link w:val="2"/>
    <w:uiPriority w:val="9"/>
    <w:rsid w:val="00C51B45"/>
    <w:rPr>
      <w:rFonts w:ascii="Times New Roman" w:eastAsia="Times New Roman" w:hAnsi="Times New Roman" w:cs="Times New Roman"/>
      <w:b/>
      <w:bCs/>
      <w:kern w:val="0"/>
      <w:szCs w:val="28"/>
      <w14:ligatures w14:val="none"/>
    </w:rPr>
  </w:style>
  <w:style w:type="character" w:customStyle="1" w:styleId="30">
    <w:name w:val="Заголовок 3 Знак"/>
    <w:basedOn w:val="a0"/>
    <w:link w:val="3"/>
    <w:uiPriority w:val="9"/>
    <w:semiHidden/>
    <w:rsid w:val="00F3279C"/>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F3279C"/>
    <w:rPr>
      <w:rFonts w:eastAsiaTheme="majorEastAsia" w:cstheme="majorBidi"/>
      <w:i/>
      <w:iCs/>
      <w:color w:val="2F5496" w:themeColor="accent1" w:themeShade="BF"/>
      <w:kern w:val="0"/>
      <w:sz w:val="24"/>
      <w14:ligatures w14:val="none"/>
    </w:rPr>
  </w:style>
  <w:style w:type="character" w:customStyle="1" w:styleId="50">
    <w:name w:val="Заголовок 5 Знак"/>
    <w:basedOn w:val="a0"/>
    <w:link w:val="5"/>
    <w:uiPriority w:val="9"/>
    <w:semiHidden/>
    <w:rsid w:val="00F3279C"/>
    <w:rPr>
      <w:rFonts w:eastAsiaTheme="majorEastAsia" w:cstheme="majorBidi"/>
      <w:color w:val="2F5496" w:themeColor="accent1" w:themeShade="BF"/>
      <w:kern w:val="0"/>
      <w:sz w:val="24"/>
      <w14:ligatures w14:val="none"/>
    </w:rPr>
  </w:style>
  <w:style w:type="character" w:customStyle="1" w:styleId="60">
    <w:name w:val="Заголовок 6 Знак"/>
    <w:basedOn w:val="a0"/>
    <w:link w:val="6"/>
    <w:uiPriority w:val="9"/>
    <w:semiHidden/>
    <w:rsid w:val="00F3279C"/>
    <w:rPr>
      <w:rFonts w:eastAsiaTheme="majorEastAsia" w:cstheme="majorBidi"/>
      <w:i/>
      <w:iCs/>
      <w:color w:val="595959" w:themeColor="text1" w:themeTint="A6"/>
      <w:kern w:val="0"/>
      <w:sz w:val="24"/>
      <w14:ligatures w14:val="none"/>
    </w:rPr>
  </w:style>
  <w:style w:type="character" w:customStyle="1" w:styleId="70">
    <w:name w:val="Заголовок 7 Знак"/>
    <w:basedOn w:val="a0"/>
    <w:link w:val="7"/>
    <w:uiPriority w:val="9"/>
    <w:semiHidden/>
    <w:rsid w:val="00F3279C"/>
    <w:rPr>
      <w:rFonts w:eastAsiaTheme="majorEastAsia" w:cstheme="majorBidi"/>
      <w:color w:val="595959" w:themeColor="text1" w:themeTint="A6"/>
      <w:kern w:val="0"/>
      <w:sz w:val="24"/>
      <w14:ligatures w14:val="none"/>
    </w:rPr>
  </w:style>
  <w:style w:type="character" w:customStyle="1" w:styleId="80">
    <w:name w:val="Заголовок 8 Знак"/>
    <w:basedOn w:val="a0"/>
    <w:link w:val="8"/>
    <w:uiPriority w:val="9"/>
    <w:semiHidden/>
    <w:rsid w:val="00F3279C"/>
    <w:rPr>
      <w:rFonts w:eastAsiaTheme="majorEastAsia" w:cstheme="majorBidi"/>
      <w:i/>
      <w:iCs/>
      <w:color w:val="272727" w:themeColor="text1" w:themeTint="D8"/>
      <w:kern w:val="0"/>
      <w:sz w:val="24"/>
      <w14:ligatures w14:val="none"/>
    </w:rPr>
  </w:style>
  <w:style w:type="character" w:customStyle="1" w:styleId="90">
    <w:name w:val="Заголовок 9 Знак"/>
    <w:basedOn w:val="a0"/>
    <w:link w:val="9"/>
    <w:uiPriority w:val="9"/>
    <w:semiHidden/>
    <w:rsid w:val="00F3279C"/>
    <w:rPr>
      <w:rFonts w:eastAsiaTheme="majorEastAsia" w:cstheme="majorBidi"/>
      <w:color w:val="272727" w:themeColor="text1" w:themeTint="D8"/>
      <w:kern w:val="0"/>
      <w:sz w:val="24"/>
      <w14:ligatures w14:val="none"/>
    </w:rPr>
  </w:style>
  <w:style w:type="paragraph" w:styleId="a3">
    <w:name w:val="Title"/>
    <w:basedOn w:val="a"/>
    <w:next w:val="a"/>
    <w:link w:val="a4"/>
    <w:uiPriority w:val="10"/>
    <w:qFormat/>
    <w:rsid w:val="00F32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3279C"/>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F327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F3279C"/>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F3279C"/>
    <w:pPr>
      <w:spacing w:before="160"/>
      <w:jc w:val="center"/>
    </w:pPr>
    <w:rPr>
      <w:i/>
      <w:iCs/>
      <w:color w:val="404040" w:themeColor="text1" w:themeTint="BF"/>
    </w:rPr>
  </w:style>
  <w:style w:type="character" w:customStyle="1" w:styleId="22">
    <w:name w:val="Цитата 2 Знак"/>
    <w:basedOn w:val="a0"/>
    <w:link w:val="21"/>
    <w:uiPriority w:val="29"/>
    <w:rsid w:val="00F3279C"/>
    <w:rPr>
      <w:rFonts w:ascii="Times New Roman" w:hAnsi="Times New Roman"/>
      <w:i/>
      <w:iCs/>
      <w:color w:val="404040" w:themeColor="text1" w:themeTint="BF"/>
      <w:kern w:val="0"/>
      <w:sz w:val="24"/>
      <w14:ligatures w14:val="none"/>
    </w:rPr>
  </w:style>
  <w:style w:type="paragraph" w:styleId="a7">
    <w:name w:val="List Paragraph"/>
    <w:basedOn w:val="a"/>
    <w:uiPriority w:val="34"/>
    <w:qFormat/>
    <w:rsid w:val="00F3279C"/>
    <w:pPr>
      <w:ind w:left="720"/>
      <w:contextualSpacing/>
    </w:pPr>
  </w:style>
  <w:style w:type="character" w:styleId="a8">
    <w:name w:val="Intense Emphasis"/>
    <w:basedOn w:val="a0"/>
    <w:uiPriority w:val="21"/>
    <w:qFormat/>
    <w:rsid w:val="00F3279C"/>
    <w:rPr>
      <w:i/>
      <w:iCs/>
      <w:color w:val="2F5496" w:themeColor="accent1" w:themeShade="BF"/>
    </w:rPr>
  </w:style>
  <w:style w:type="paragraph" w:styleId="a9">
    <w:name w:val="Intense Quote"/>
    <w:basedOn w:val="a"/>
    <w:next w:val="a"/>
    <w:link w:val="aa"/>
    <w:uiPriority w:val="30"/>
    <w:qFormat/>
    <w:rsid w:val="00F32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3279C"/>
    <w:rPr>
      <w:rFonts w:ascii="Times New Roman" w:hAnsi="Times New Roman"/>
      <w:i/>
      <w:iCs/>
      <w:color w:val="2F5496" w:themeColor="accent1" w:themeShade="BF"/>
      <w:kern w:val="0"/>
      <w:sz w:val="24"/>
      <w14:ligatures w14:val="none"/>
    </w:rPr>
  </w:style>
  <w:style w:type="character" w:styleId="ab">
    <w:name w:val="Intense Reference"/>
    <w:basedOn w:val="a0"/>
    <w:uiPriority w:val="32"/>
    <w:qFormat/>
    <w:rsid w:val="00F3279C"/>
    <w:rPr>
      <w:b/>
      <w:bCs/>
      <w:smallCaps/>
      <w:color w:val="2F5496" w:themeColor="accent1" w:themeShade="BF"/>
      <w:spacing w:val="5"/>
    </w:rPr>
  </w:style>
  <w:style w:type="table" w:styleId="ac">
    <w:name w:val="Table Grid"/>
    <w:basedOn w:val="a1"/>
    <w:uiPriority w:val="39"/>
    <w:rsid w:val="00F32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3279C"/>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F3279C"/>
    <w:rPr>
      <w:rFonts w:ascii="Times New Roman" w:hAnsi="Times New Roman"/>
      <w:kern w:val="0"/>
      <w:sz w:val="24"/>
      <w14:ligatures w14:val="none"/>
    </w:rPr>
  </w:style>
  <w:style w:type="paragraph" w:styleId="af">
    <w:name w:val="footer"/>
    <w:basedOn w:val="a"/>
    <w:link w:val="af0"/>
    <w:uiPriority w:val="99"/>
    <w:unhideWhenUsed/>
    <w:rsid w:val="00F3279C"/>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F3279C"/>
    <w:rPr>
      <w:rFonts w:ascii="Times New Roman" w:hAnsi="Times New Roman"/>
      <w:kern w:val="0"/>
      <w:sz w:val="24"/>
      <w14:ligatures w14:val="none"/>
    </w:rPr>
  </w:style>
  <w:style w:type="paragraph" w:styleId="af1">
    <w:name w:val="footnote text"/>
    <w:basedOn w:val="a"/>
    <w:link w:val="af2"/>
    <w:uiPriority w:val="99"/>
    <w:semiHidden/>
    <w:unhideWhenUsed/>
    <w:rsid w:val="00EA7D54"/>
    <w:pPr>
      <w:spacing w:after="0" w:line="240" w:lineRule="auto"/>
    </w:pPr>
    <w:rPr>
      <w:sz w:val="20"/>
      <w:szCs w:val="20"/>
    </w:rPr>
  </w:style>
  <w:style w:type="character" w:customStyle="1" w:styleId="af2">
    <w:name w:val="Текст сноски Знак"/>
    <w:basedOn w:val="a0"/>
    <w:link w:val="af1"/>
    <w:uiPriority w:val="99"/>
    <w:semiHidden/>
    <w:rsid w:val="00EA7D54"/>
    <w:rPr>
      <w:rFonts w:ascii="Times New Roman" w:hAnsi="Times New Roman"/>
      <w:kern w:val="0"/>
      <w:sz w:val="20"/>
      <w:szCs w:val="20"/>
      <w14:ligatures w14:val="none"/>
    </w:rPr>
  </w:style>
  <w:style w:type="character" w:styleId="af3">
    <w:name w:val="footnote reference"/>
    <w:basedOn w:val="a0"/>
    <w:uiPriority w:val="99"/>
    <w:semiHidden/>
    <w:unhideWhenUsed/>
    <w:rsid w:val="00EA7D54"/>
    <w:rPr>
      <w:vertAlign w:val="superscript"/>
    </w:rPr>
  </w:style>
  <w:style w:type="character" w:styleId="af4">
    <w:name w:val="Hyperlink"/>
    <w:basedOn w:val="a0"/>
    <w:uiPriority w:val="99"/>
    <w:unhideWhenUsed/>
    <w:rsid w:val="004F3875"/>
    <w:rPr>
      <w:color w:val="0563C1" w:themeColor="hyperlink"/>
      <w:u w:val="single"/>
    </w:rPr>
  </w:style>
  <w:style w:type="character" w:customStyle="1" w:styleId="UnresolvedMention">
    <w:name w:val="Unresolved Mention"/>
    <w:basedOn w:val="a0"/>
    <w:uiPriority w:val="99"/>
    <w:semiHidden/>
    <w:unhideWhenUsed/>
    <w:rsid w:val="004F3875"/>
    <w:rPr>
      <w:color w:val="605E5C"/>
      <w:shd w:val="clear" w:color="auto" w:fill="E1DFDD"/>
    </w:rPr>
  </w:style>
  <w:style w:type="paragraph" w:styleId="af5">
    <w:name w:val="No Spacing"/>
    <w:link w:val="af6"/>
    <w:uiPriority w:val="1"/>
    <w:qFormat/>
    <w:rsid w:val="00C909EA"/>
    <w:pPr>
      <w:spacing w:after="0" w:line="240" w:lineRule="auto"/>
    </w:pPr>
    <w:rPr>
      <w:rFonts w:eastAsiaTheme="minorEastAsia"/>
      <w:kern w:val="0"/>
      <w:lang w:val="en-US"/>
      <w14:ligatures w14:val="none"/>
    </w:rPr>
  </w:style>
  <w:style w:type="character" w:customStyle="1" w:styleId="af6">
    <w:name w:val="Без интервала Знак"/>
    <w:basedOn w:val="a0"/>
    <w:link w:val="af5"/>
    <w:uiPriority w:val="1"/>
    <w:rsid w:val="00C909EA"/>
    <w:rPr>
      <w:rFonts w:eastAsiaTheme="minorEastAsia"/>
      <w:kern w:val="0"/>
      <w:lang w:val="en-US"/>
      <w14:ligatures w14:val="none"/>
    </w:rPr>
  </w:style>
  <w:style w:type="character" w:styleId="af7">
    <w:name w:val="FollowedHyperlink"/>
    <w:basedOn w:val="a0"/>
    <w:uiPriority w:val="99"/>
    <w:semiHidden/>
    <w:unhideWhenUsed/>
    <w:rsid w:val="00FF4960"/>
    <w:rPr>
      <w:color w:val="954F72" w:themeColor="followedHyperlink"/>
      <w:u w:val="single"/>
    </w:rPr>
  </w:style>
  <w:style w:type="paragraph" w:styleId="af8">
    <w:name w:val="Normal (Web)"/>
    <w:basedOn w:val="a"/>
    <w:uiPriority w:val="99"/>
    <w:semiHidden/>
    <w:unhideWhenUsed/>
    <w:rsid w:val="00CD493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fre?i=001-158279" TargetMode="External"/><Relationship Id="rId13" Type="http://schemas.openxmlformats.org/officeDocument/2006/relationships/hyperlink" Target="https://hudoc.echr.coe.int/eng?i=001-221469" TargetMode="External"/><Relationship Id="rId18" Type="http://schemas.openxmlformats.org/officeDocument/2006/relationships/hyperlink" Target="https://hudoc.echr.coe.int/eng" TargetMode="External"/><Relationship Id="rId26" Type="http://schemas.openxmlformats.org/officeDocument/2006/relationships/hyperlink" Target="https://hudoc.echr.coe.int/?i=001-245825" TargetMode="External"/><Relationship Id="rId3" Type="http://schemas.openxmlformats.org/officeDocument/2006/relationships/styles" Target="styles.xml"/><Relationship Id="rId21" Type="http://schemas.openxmlformats.org/officeDocument/2006/relationships/hyperlink" Target="https://hudoc.echr.coe.int/eng?i=001-123464" TargetMode="External"/><Relationship Id="rId7" Type="http://schemas.openxmlformats.org/officeDocument/2006/relationships/endnotes" Target="endnotes.xml"/><Relationship Id="rId12" Type="http://schemas.openxmlformats.org/officeDocument/2006/relationships/hyperlink" Target="https://hudoc.echr.coe.int/eng/?i=001-233206" TargetMode="External"/><Relationship Id="rId17" Type="http://schemas.openxmlformats.org/officeDocument/2006/relationships/hyperlink" Target="https://hudoc.echr.coe.int/eng" TargetMode="External"/><Relationship Id="rId25" Type="http://schemas.openxmlformats.org/officeDocument/2006/relationships/hyperlink" Target="https://hudoc.echr.coe.int/fre?i=001-24717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hyperlink" Target="https://hudoc.echr.coe.int/fre?i=001-14579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fre?i=001-217963" TargetMode="External"/><Relationship Id="rId24" Type="http://schemas.openxmlformats.org/officeDocument/2006/relationships/hyperlink" Target="https://hudoc.echr.coe.int/fre?i=001-24735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udoc.echr.coe.int/app/conversion/docx/?library=ECHR&amp;id=001-144101&amp;filename=CASE%20OF%20AGURDINO%20S.R.L.%20v.%20THE%20REPUBLIC%20OF%20MOLDOVA%20-%20%5BRomanian%20Translation%5D%20by%20the%20Ministry%20of%20Justice%20of%20the%20Republic%20of%20Moldova.docx&amp;logEvent=False" TargetMode="External"/><Relationship Id="rId23" Type="http://schemas.openxmlformats.org/officeDocument/2006/relationships/hyperlink" Target="https://hudoc.echr.coe.int/eng?i=001-124019" TargetMode="External"/><Relationship Id="rId28" Type="http://schemas.openxmlformats.org/officeDocument/2006/relationships/header" Target="header1.xml"/><Relationship Id="rId10" Type="http://schemas.openxmlformats.org/officeDocument/2006/relationships/hyperlink" Target="https://hudoc.echr.coe.int/eng" TargetMode="External"/><Relationship Id="rId19" Type="http://schemas.openxmlformats.org/officeDocument/2006/relationships/hyperlink" Target="https://hudoc.echr.coe.int/fre?i=001-24613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udoc.echr.coe.int/eng?i=001-162614"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i=001-103007" TargetMode="External"/><Relationship Id="rId27" Type="http://schemas.openxmlformats.org/officeDocument/2006/relationships/hyperlink" Target="https://hudoc.echr.coe.int/eng?i=001-104672"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DEBF7-2FDC-4611-93CF-6D19ABD4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9266</Words>
  <Characters>52818</Characters>
  <Application>Microsoft Office Word</Application>
  <DocSecurity>0</DocSecurity>
  <Lines>440</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Rusu</dc:creator>
  <cp:keywords/>
  <dc:description/>
  <cp:lastModifiedBy>User</cp:lastModifiedBy>
  <cp:revision>2</cp:revision>
  <dcterms:created xsi:type="dcterms:W3CDTF">2025-12-18T17:50:00Z</dcterms:created>
  <dcterms:modified xsi:type="dcterms:W3CDTF">2025-12-18T17:50:00Z</dcterms:modified>
</cp:coreProperties>
</file>